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6b7d7f80fdf69e4b1ce2c5aab2cde270b85dcae"/>
    <w:p>
      <w:pPr>
        <w:pStyle w:val="Heading1"/>
      </w:pPr>
      <w:r>
        <w:t xml:space="preserve">Sprawa 050 — Opóźnienie dewelopera w przeniesieniu własności - jakie roszczenia może mieć kupujący</w:t>
      </w:r>
    </w:p>
    <w:p>
      <w:pPr>
        <w:pStyle w:val="Compact"/>
        <w:numPr>
          <w:ilvl w:val="0"/>
          <w:numId w:val="1001"/>
        </w:numPr>
      </w:pPr>
      <w:r>
        <w:rPr>
          <w:b/>
          <w:bCs/>
        </w:rPr>
        <w:t xml:space="preserve">Obszar prawa:</w:t>
      </w:r>
      <w:r>
        <w:t xml:space="preserve"> </w:t>
      </w:r>
      <w:r>
        <w:t xml:space="preserve">Najem i nieruchomości</w:t>
      </w:r>
    </w:p>
    <w:p>
      <w:pPr>
        <w:pStyle w:val="Compact"/>
        <w:numPr>
          <w:ilvl w:val="0"/>
          <w:numId w:val="1001"/>
        </w:numPr>
      </w:pPr>
      <w:r>
        <w:rPr>
          <w:b/>
          <w:bCs/>
        </w:rPr>
        <w:t xml:space="preserve">Temat (LP 50 z listy CASEBOX):</w:t>
      </w:r>
      <w:r>
        <w:t xml:space="preserve"> </w:t>
      </w:r>
      <w:r>
        <w:t xml:space="preserve">Opóźnienie dewelopera w przeniesieniu własności - jakie roszczenia może mieć kupujący</w:t>
      </w:r>
    </w:p>
    <w:p>
      <w:r>
        <w:pict>
          <v:rect style="width:0;height:1.5pt" o:hralign="center" o:hrstd="t" o:hr="t"/>
        </w:pict>
      </w:r>
    </w:p>
    <w:bookmarkStart w:id="9" w:name="X70c1e536ca3d0a9ab82f0125e1bc42fbef547d0"/>
    <w:p>
      <w:pPr>
        <w:pStyle w:val="Heading2"/>
      </w:pPr>
      <w:r>
        <w:t xml:space="preserve">CZĘŚĆ I. SPRAWA (kazus + załączniki — dane testowe)</w:t>
      </w:r>
    </w:p>
    <w:bookmarkEnd w:id="9"/>
    <w:bookmarkEnd w:id="10"/>
    <w:bookmarkStart w:id="17" w:name="X83202af9fbf39e037448491ec2a53e9a80b3353"/>
    <w:p>
      <w:pPr>
        <w:pStyle w:val="Heading1"/>
      </w:pPr>
      <w:r>
        <w:t xml:space="preserve">STAN FAKTYCZNY I ZADANIE DLA KANCELARII (KAZUS: NAJEM I NIERUCHOMOŚCI)</w:t>
      </w:r>
    </w:p>
    <w:bookmarkStart w:id="11" w:name="i.-zwięzły-opis-stanu-faktycznego"/>
    <w:p>
      <w:pPr>
        <w:pStyle w:val="Heading2"/>
      </w:pPr>
      <w:r>
        <w:t xml:space="preserve">I. Zwięzły opis stanu faktycznego</w:t>
      </w:r>
    </w:p>
    <w:p>
      <w:pPr>
        <w:pStyle w:val="Compact"/>
        <w:numPr>
          <w:ilvl w:val="0"/>
          <w:numId w:val="1002"/>
        </w:numPr>
      </w:pPr>
      <w:r>
        <w:t xml:space="preserve">Strony sprawy</w:t>
      </w:r>
    </w:p>
    <w:p>
      <w:pPr>
        <w:pStyle w:val="Compact"/>
        <w:numPr>
          <w:ilvl w:val="0"/>
          <w:numId w:val="1003"/>
        </w:numPr>
      </w:pPr>
      <w:r>
        <w:t xml:space="preserve">Twój Klient: Pan M. N., PESEL ███████████, zam. Warszawa. Wiek 39 lat.</w:t>
      </w:r>
    </w:p>
    <w:p>
      <w:pPr>
        <w:pStyle w:val="Compact"/>
        <w:numPr>
          <w:ilvl w:val="0"/>
          <w:numId w:val="1003"/>
        </w:numPr>
      </w:pPr>
      <w:r>
        <w:t xml:space="preserve">Strona przeciwna (Deweloper): S. N.-B. Sp. z o.o., KRS ██████████, siedziba Warszawa, reprezentowana przez Prezesa Zarządu – D. K. (dowód reprezentacji – wpis w KRS).</w:t>
      </w:r>
    </w:p>
    <w:p>
      <w:pPr>
        <w:pStyle w:val="Compact"/>
        <w:numPr>
          <w:ilvl w:val="0"/>
          <w:numId w:val="1003"/>
        </w:numPr>
      </w:pPr>
      <w:r>
        <w:t xml:space="preserve">Numer księgi wieczystej lokalu: KW ██/████/████ (faktyczny, fikcyjny).</w:t>
      </w:r>
    </w:p>
    <w:p>
      <w:pPr>
        <w:pStyle w:val="Compact"/>
        <w:numPr>
          <w:ilvl w:val="0"/>
          <w:numId w:val="1003"/>
        </w:numPr>
      </w:pPr>
      <w:r>
        <w:t xml:space="preserve">Sygnatura wewnętrzna Klienta: sprawa ████/██/███.</w:t>
      </w:r>
    </w:p>
    <w:p>
      <w:pPr>
        <w:pStyle w:val="Compact"/>
        <w:numPr>
          <w:ilvl w:val="0"/>
          <w:numId w:val="1004"/>
        </w:numPr>
      </w:pPr>
      <w:r>
        <w:t xml:space="preserve">Przedmiot umowy</w:t>
      </w:r>
    </w:p>
    <w:p>
      <w:pPr>
        <w:pStyle w:val="Compact"/>
        <w:numPr>
          <w:ilvl w:val="0"/>
          <w:numId w:val="1005"/>
        </w:numPr>
      </w:pPr>
      <w:r>
        <w:t xml:space="preserve">W dniu 15 października 2022 roku Pan M. N. zawarł z N.-B. Sp. z o.o. umowę deweloperską nr DEV/████/78 (dalej „Umowa”) dotyczącą nabycia lokalu mieszkalnego nr 23 w budynku F projektu „Osiedle Brzozowe”, położonego w Warszawie, o powierzchni 52,34 m2, wraz z udziałem w częściach wspólnych i przynależną komórką lokatorską. Cena brutto lokalu określona w §2 Umowy wynosi 520 000,00 zł (słownie: pięćset dwadzieścia tysięcy złotych 00/100). W Umowie przewidziano wpłaty na rachunek powierniczy: zadatek/pierwsza wpłata 52 000,00 zł w terminie 14 dni od zawarcia umowy; pozostała część płatna zgodnie z harmonogramem i przy akcie notarialnym przeniesienia własności.</w:t>
      </w:r>
    </w:p>
    <w:p>
      <w:pPr>
        <w:pStyle w:val="Compact"/>
        <w:numPr>
          <w:ilvl w:val="0"/>
          <w:numId w:val="1006"/>
        </w:numPr>
      </w:pPr>
      <w:r>
        <w:t xml:space="preserve">Kluczowe postanowienia Umowy (cytaty i wskazania paragrafów)</w:t>
      </w:r>
    </w:p>
    <w:p>
      <w:pPr>
        <w:pStyle w:val="Compact"/>
        <w:numPr>
          <w:ilvl w:val="0"/>
          <w:numId w:val="1007"/>
        </w:numPr>
      </w:pPr>
      <w:r>
        <w:t xml:space="preserve">§4 ust. 1 Umowy: „Termin przekazania lokalu oraz zawarcia umowy przenoszącej własność (akt notarialny przeniesienia własności) ustala się na dzień 30 czerwca 2024 r.”.</w:t>
      </w:r>
    </w:p>
    <w:p>
      <w:pPr>
        <w:pStyle w:val="Compact"/>
        <w:numPr>
          <w:ilvl w:val="0"/>
          <w:numId w:val="1007"/>
        </w:numPr>
      </w:pPr>
      <w:r>
        <w:t xml:space="preserve">§10 ust. 2 Umowy: „W przypadku opóźnienia Dewelopera w przekazaniu lokalu oraz zawarciu aktu przenoszącego własność Klient ma prawo żądać odszkodowania z tytułu opóźnienia oraz odsetek ustawowych za każdy dzień zwłoki; roszczenie o odszkodowanie nie wyłącza prawa do odstąpienia od Umowy, jeżeli zwłoka przekroczy 180 dni.”</w:t>
      </w:r>
    </w:p>
    <w:p>
      <w:pPr>
        <w:pStyle w:val="Compact"/>
        <w:numPr>
          <w:ilvl w:val="0"/>
          <w:numId w:val="1007"/>
        </w:numPr>
      </w:pPr>
      <w:r>
        <w:t xml:space="preserve">§11 Umowy (kary umowne): „Deweloper zapłaci Klientowi karę umowną w wysokości 0,05% ceny brutto lokalu za każdy dzień zwłoki w wykonaniu obowiązku zawarcia aktu notarialnego przenoszącego własność, nie więcej jednak niż 10% ceny brutto.”</w:t>
      </w:r>
    </w:p>
    <w:p>
      <w:pPr>
        <w:pStyle w:val="Compact"/>
        <w:numPr>
          <w:ilvl w:val="0"/>
          <w:numId w:val="1007"/>
        </w:numPr>
      </w:pPr>
      <w:r>
        <w:t xml:space="preserve">§12 Umowy (siła wyższa): definiuje wąsko pojęcie siły wyższej i wymaga zgłoszenia na piśmie z dokumentacją potwierdzającą.</w:t>
      </w:r>
    </w:p>
    <w:p>
      <w:pPr>
        <w:pStyle w:val="Compact"/>
        <w:numPr>
          <w:ilvl w:val="0"/>
          <w:numId w:val="1008"/>
        </w:numPr>
      </w:pPr>
      <w:r>
        <w:t xml:space="preserve">Chronologia zdarzeń i dotychczasowe działania stron</w:t>
      </w:r>
    </w:p>
    <w:p>
      <w:pPr>
        <w:pStyle w:val="Compact"/>
        <w:numPr>
          <w:ilvl w:val="0"/>
          <w:numId w:val="1009"/>
        </w:numPr>
      </w:pPr>
      <w:r>
        <w:t xml:space="preserve">15.10.2022 – podpisanie Umowy deweloperskiej nr DEV/████/78; wpłata pierwszej transzy 52 000,00 zł na rachunek powierniczy (faktura VAT nr FB/2022/112 dat. 20.10.2022).</w:t>
      </w:r>
    </w:p>
    <w:p>
      <w:pPr>
        <w:pStyle w:val="Compact"/>
        <w:numPr>
          <w:ilvl w:val="0"/>
          <w:numId w:val="1009"/>
        </w:numPr>
      </w:pPr>
      <w:r>
        <w:t xml:space="preserve">30.06.2024 – termin przewidziany na zawarcie aktu notarialnego. Tego dnia prace budowlane nadal trwają; deweloper nie stawia się w kancelarii notarialnej.</w:t>
      </w:r>
    </w:p>
    <w:p>
      <w:pPr>
        <w:pStyle w:val="Compact"/>
        <w:numPr>
          <w:ilvl w:val="0"/>
          <w:numId w:val="1009"/>
        </w:numPr>
      </w:pPr>
      <w:r>
        <w:t xml:space="preserve">05.07.2024 – P. N. wysyła e-mail z wezwaniem do N.-B. o podstawienie pełnomocywnika notarialnego i zaproponowanie nowego terminu (dowód: e-mail 05.07.2024, 09:12).</w:t>
      </w:r>
    </w:p>
    <w:p>
      <w:pPr>
        <w:pStyle w:val="Compact"/>
        <w:numPr>
          <w:ilvl w:val="0"/>
          <w:numId w:val="1009"/>
        </w:numPr>
      </w:pPr>
      <w:r>
        <w:t xml:space="preserve">20.07.2024 – N.-B. przesyła pismo (fax i e-mail) z informacją o „opóźnieniach związanych z dostawami materiałów oraz brakiem nadania numeru budynku przez Powiatowy Inspektorat” i proponuje nowy termin 30.09.2024; do pisma dołączono ogólne oświadczenie o „siły wyższej”.</w:t>
      </w:r>
    </w:p>
    <w:p>
      <w:pPr>
        <w:pStyle w:val="Compact"/>
        <w:numPr>
          <w:ilvl w:val="0"/>
          <w:numId w:val="1009"/>
        </w:numPr>
      </w:pPr>
      <w:r>
        <w:t xml:space="preserve">01.10.2024 – P. N. wysyła reklamację i wezwanie do zapłaty kar umownych oraz żąda odszkodowania za koszty najmu (wezwanie przedsądowe nr ████/██/███ z dnia 01.10.2024, wysłane listem poleconym za potwierdzeniem odbioru).</w:t>
      </w:r>
    </w:p>
    <w:p>
      <w:pPr>
        <w:pStyle w:val="Compact"/>
        <w:numPr>
          <w:ilvl w:val="0"/>
          <w:numId w:val="1009"/>
        </w:numPr>
      </w:pPr>
      <w:r>
        <w:t xml:space="preserve">15.10.2024 – N.-B. odpisała, odmawiając wypłaty kar umownych powołując się na okoliczność „siły wyższej” oraz na zapis §10 Umowy, z którego ich zdaniem wynika, że odszkodowania przysługują jedynie po 180 dniach zwłoki; wskazali również, że opóźnienie nie jest wyłącznie ich winą.</w:t>
      </w:r>
    </w:p>
    <w:p>
      <w:pPr>
        <w:pStyle w:val="Compact"/>
        <w:numPr>
          <w:ilvl w:val="0"/>
          <w:numId w:val="1009"/>
        </w:numPr>
      </w:pPr>
      <w:r>
        <w:t xml:space="preserve">20.12.2024 – N.-B. zaproponował „kompromis” – zapłatę jednorazowego odszkodowania w wysokości 6 000,00 zł brutto oraz obietnicę zawarcia aktu do 31.03.2025. P. N. odmówił przyjęcia oferty.</w:t>
      </w:r>
    </w:p>
    <w:p>
      <w:pPr>
        <w:pStyle w:val="Compact"/>
        <w:numPr>
          <w:ilvl w:val="0"/>
          <w:numId w:val="1009"/>
        </w:numPr>
      </w:pPr>
      <w:r>
        <w:t xml:space="preserve">31.03.2025 – pomimo kolejnych terminów, akt notarialny nie został sporządzony; ostateczne przesunięcie terminu przez dewelopera ustalone na 30.06.2025 r.</w:t>
      </w:r>
    </w:p>
    <w:p>
      <w:pPr>
        <w:pStyle w:val="Compact"/>
        <w:numPr>
          <w:ilvl w:val="0"/>
          <w:numId w:val="1009"/>
        </w:numPr>
      </w:pPr>
      <w:r>
        <w:t xml:space="preserve">10.08.2025 – sytuacja nie została rozwiązana; P. N. zwraca się do Kancelarii z pełnomocnictwem (pełnomocnictwo do lat 1, z dnia 10.08.2025), żądając analizy możliwości dochodzenia roszczeń. Do chwili sporządzenia kazusu wniesione środki: 52 000,00 zł (wpłata początkowa); brak kolejnych wpłat (Klient wstrzymał dalsze płatności).</w:t>
      </w:r>
    </w:p>
    <w:p>
      <w:pPr>
        <w:pStyle w:val="Compact"/>
        <w:numPr>
          <w:ilvl w:val="0"/>
          <w:numId w:val="1010"/>
        </w:numPr>
      </w:pPr>
      <w:r>
        <w:t xml:space="preserve">Stanowisko strony przeciwnej</w:t>
      </w:r>
    </w:p>
    <w:p>
      <w:pPr>
        <w:pStyle w:val="Compact"/>
        <w:numPr>
          <w:ilvl w:val="0"/>
          <w:numId w:val="1011"/>
        </w:numPr>
      </w:pPr>
      <w:r>
        <w:t xml:space="preserve">N.-B. utrzymuje, że opóźnienie powstało wskutek niezależnych od niej okoliczności (problemy z dostawami, opóźnienia w uzyskaniu numeru budynku, wymogi nadzoru budowlanego) i że część odpowiedzialności leży po stronie kontrahentów (podwykonawców) oraz organów administracji. Spółka twierdzi, iż zgodnie z §12 Umowy obowiązują szczegółowe procedury zgłaszania siły wyższej i że nie wszystkie formalności zostały wypełnione przez Klienta co do zasad dokumentowania szkody. Deweloper proponuje „niższą” kwotę zadośćuczynienia (6 000 zł) jako rozwiązanie polubowne i wskazuje, że prawo do kar umownych może być ograniczone w świetle art. dotyczących nadmiernego obciążenia (argument odwołujący się do zasad współżycia społecznego).</w:t>
      </w:r>
    </w:p>
    <w:p>
      <w:pPr>
        <w:pStyle w:val="Compact"/>
        <w:numPr>
          <w:ilvl w:val="0"/>
          <w:numId w:val="1012"/>
        </w:numPr>
      </w:pPr>
      <w:r>
        <w:t xml:space="preserve">Roszczenia i oczekiwanie Klienta</w:t>
      </w:r>
    </w:p>
    <w:p>
      <w:pPr>
        <w:pStyle w:val="Compact"/>
        <w:numPr>
          <w:ilvl w:val="0"/>
          <w:numId w:val="1013"/>
        </w:numPr>
      </w:pPr>
      <w:r>
        <w:t xml:space="preserve">Klient żąda analizy prawnej oraz przygotowania odpowiednich pism zmierzających do uzyskania: (a) zapłaty kar umownych za okres zwłoki poczynając od 01.07.2024 do dnia zawarcia aktu przeniesienia własności, (b) odszkodowania z tytułu poniesionych kosztów najmu lokalu zastępczego oraz innych kosztów (przeprowadzka, przechowanie rzeczy) w wysokości żądanej i udokumentowanej przez Klienta, (c) ewentualnego prawa do odstąpienia od Umowy i zwrotu wpłaconych kwot wraz z odsetkami ustawowymi oraz kosztami umownymi, jeżeli zwłoka przekroczy 180 dni i/lub akt notarialny nie zostanie zawarty do wskazanego ostatecznego terminu, (d) zabezpieczenia roszczeń sądowych. Klient dostarczył faktury i umowę najmu lokalu zastępczego (kopia umowy najmu z 05.07.2024 na okres 01.07.2024–31.12.2024, czynsz 3 200,00 zł/mies. brutto) oraz rachunki za przechowanie mebli 1 200,00 zł.</w:t>
      </w:r>
    </w:p>
    <w:p>
      <w:pPr>
        <w:pStyle w:val="Compact"/>
        <w:numPr>
          <w:ilvl w:val="0"/>
          <w:numId w:val="1014"/>
        </w:numPr>
      </w:pPr>
      <w:r>
        <w:t xml:space="preserve">Elementy sporne i ryzyka</w:t>
      </w:r>
    </w:p>
    <w:p>
      <w:pPr>
        <w:pStyle w:val="Compact"/>
        <w:numPr>
          <w:ilvl w:val="0"/>
          <w:numId w:val="1015"/>
        </w:numPr>
      </w:pPr>
      <w:r>
        <w:t xml:space="preserve">Zakwestionowanie przez Dewelopera zasadności naliczenia kar umownych w pełnej wysokości (powoływanie się na siłę wyższą i na błąd w powiązaniu z wykonawcami).</w:t>
      </w:r>
    </w:p>
    <w:p>
      <w:pPr>
        <w:pStyle w:val="Compact"/>
        <w:numPr>
          <w:ilvl w:val="0"/>
          <w:numId w:val="1015"/>
        </w:numPr>
      </w:pPr>
      <w:r>
        <w:t xml:space="preserve">Potencjalne spory co do początku biegu zwłoki (czy liczyć od dnia następującego po terminie w Umowie czy od faktycznego powiadomienia o przesunięciu).</w:t>
      </w:r>
    </w:p>
    <w:p>
      <w:pPr>
        <w:pStyle w:val="Compact"/>
        <w:numPr>
          <w:ilvl w:val="0"/>
          <w:numId w:val="1015"/>
        </w:numPr>
      </w:pPr>
      <w:r>
        <w:t xml:space="preserve">Możliwe stosowanie art. 363, 366 kc? (kwestia nabycia prawa własności i skutek rejestru KW) oraz interpretacje zapisów Umowy.</w:t>
      </w:r>
    </w:p>
    <w:p>
      <w:pPr>
        <w:pStyle w:val="Compact"/>
        <w:numPr>
          <w:ilvl w:val="0"/>
          <w:numId w:val="1015"/>
        </w:numPr>
      </w:pPr>
      <w:r>
        <w:t xml:space="preserve">Kwestia dowodowa: brak szczegółowej dokumentacji od dewelopera potwierdzającej okoliczności siły wyższej; natomiast Klient posiada dowody najmu i korespondencję elektroniczną.</w:t>
      </w:r>
    </w:p>
    <w:bookmarkEnd w:id="11"/>
    <w:bookmarkStart w:id="14" w:name="ii.-dokumenty-i-załączniki-dane-testowe"/>
    <w:p>
      <w:pPr>
        <w:pStyle w:val="Heading2"/>
      </w:pPr>
      <w:r>
        <w:t xml:space="preserve">II. Dokumenty i załączniki (dane testowe)</w:t>
      </w:r>
    </w:p>
    <w:bookmarkStart w:id="12" w:name="X2ff01d946476495d18f128fdc9b8a3a111bb14f"/>
    <w:p>
      <w:pPr>
        <w:pStyle w:val="Heading3"/>
      </w:pPr>
      <w:r>
        <w:t xml:space="preserve">Załącznik nr 1 – Umowa deweloperska nr DEV/████/78</w:t>
      </w:r>
    </w:p>
    <w:p>
      <w:pPr>
        <w:pStyle w:val="FirstParagraph"/>
      </w:pPr>
      <w:r>
        <w:t xml:space="preserve">Umowa deweloperska nr DEV/████/78</w:t>
      </w:r>
      <w:r>
        <w:t xml:space="preserve"> </w:t>
      </w:r>
      <w:r>
        <w:t xml:space="preserve">zawarta w dniu 15 października 2022 r. w Warszawie pomiędzy:</w:t>
      </w:r>
      <w:r>
        <w:t xml:space="preserve"> </w:t>
      </w:r>
      <w:r>
        <w:t xml:space="preserve">1. N.-B. Sp. z o.o., Warszawa, KRS ██████████, NIP ███, reprezentowaną przez D. K. – Prezes Zarządu, zwaną dalej „Deweloperem”,</w:t>
      </w:r>
      <w:r>
        <w:t xml:space="preserve"> </w:t>
      </w:r>
      <w:r>
        <w:t xml:space="preserve">a</w:t>
      </w:r>
      <w:r>
        <w:t xml:space="preserve"> </w:t>
      </w:r>
      <w:r>
        <w:t xml:space="preserve">2. M. N., zam. Warszawa, PESEL ███████████, zwanym dalej „Nabywcą”.</w:t>
      </w:r>
    </w:p>
    <w:p>
      <w:pPr>
        <w:pStyle w:val="BodyText"/>
      </w:pPr>
      <w:r>
        <w:t xml:space="preserve">§1 Przedmiot umowy</w:t>
      </w:r>
      <w:r>
        <w:t xml:space="preserve"> </w:t>
      </w:r>
      <w:r>
        <w:t xml:space="preserve">1. Przedmiotem niniejszej Umowy jest przeniesienie przez Dewelopera własności lokalu mieszkalnego nr 23 o pow. 52,34 m2 położonego w budynku F w inwestycji „Osiedle Brzozowe” w Warszawie, wpisanym do KW ██/████/████.</w:t>
      </w:r>
    </w:p>
    <w:p>
      <w:pPr>
        <w:pStyle w:val="BodyText"/>
      </w:pPr>
      <w:r>
        <w:t xml:space="preserve">§2 Cena i płatności</w:t>
      </w:r>
      <w:r>
        <w:t xml:space="preserve"> </w:t>
      </w:r>
      <w:r>
        <w:t xml:space="preserve">1. Cena brutto: 520 000,00 zł. Nabywca zobowiązany jest wnosić wpłaty zgodnie z harmonogramem. Pierwsza wpłata w wysokości 52 000,00 zł (10%) na rachunek powierniczy w terminie 14 dni od daty zawarcia Umowy – potwierdzenie wpłaty faktura VAT nr FB/2022/112 z dnia 20.10.2022.</w:t>
      </w:r>
    </w:p>
    <w:p>
      <w:pPr>
        <w:pStyle w:val="BodyText"/>
      </w:pPr>
      <w:r>
        <w:t xml:space="preserve">§4 Termin zawarcia aktu przenoszącego własność</w:t>
      </w:r>
      <w:r>
        <w:t xml:space="preserve"> </w:t>
      </w:r>
      <w:r>
        <w:t xml:space="preserve">1. Termin zawarcia aktu notarialnego przenoszącego własność ustala się na dzień 30 czerwca 2024 r. (dalej: „Termin”).</w:t>
      </w:r>
    </w:p>
    <w:p>
      <w:pPr>
        <w:pStyle w:val="BodyText"/>
      </w:pPr>
      <w:r>
        <w:t xml:space="preserve">§10 Odpowiedzialność za zwłokę</w:t>
      </w:r>
      <w:r>
        <w:t xml:space="preserve"> </w:t>
      </w:r>
      <w:r>
        <w:t xml:space="preserve">1. W przypadku opóźnienia Dewelopera w przekazaniu lokalu oraz zawarciu aktu przenoszącego własność Nabywca ma prawo żądać odszkodowania z tytułu opóźnienia oraz odsetek ustawowych za każdy dzień zwłoki.</w:t>
      </w:r>
      <w:r>
        <w:t xml:space="preserve"> </w:t>
      </w:r>
      <w:r>
        <w:t xml:space="preserve">2. Nabywca ma prawo odstąpić od Umowy, jeżeli zwłoka Dewelopera przekroczy 180 dni, licząc od dnia następnego po Terminie.</w:t>
      </w:r>
    </w:p>
    <w:p>
      <w:pPr>
        <w:pStyle w:val="BodyText"/>
      </w:pPr>
      <w:r>
        <w:t xml:space="preserve">§11 Kary umowne</w:t>
      </w:r>
      <w:r>
        <w:t xml:space="preserve"> </w:t>
      </w:r>
      <w:r>
        <w:t xml:space="preserve">1. Deweloper zapłaci Nabywcy karę umowną w wysokości 0,05% ceny brutto za każdy dzień zwłoki w wykonaniu obowiązku zawarcia aktu przenoszącego własność, nie więcej jednak niż 10% ceny brutto.</w:t>
      </w:r>
    </w:p>
    <w:p>
      <w:pPr>
        <w:pStyle w:val="BodyText"/>
      </w:pPr>
      <w:r>
        <w:t xml:space="preserve">§12 Siła wyższa</w:t>
      </w:r>
      <w:r>
        <w:t xml:space="preserve"> </w:t>
      </w:r>
      <w:r>
        <w:t xml:space="preserve">1. Deweloper jest zwolniony z odpowiedzialności za zwłokę w wypadku wystąpienia siły wyższej, pod warunkiem niezwłocznego zgłoszenia jej Nabywcy na piśmie wraz z dokumentacją potwierdzającą jej wystąpienie.</w:t>
      </w:r>
    </w:p>
    <w:p>
      <w:pPr>
        <w:pStyle w:val="BodyText"/>
      </w:pPr>
      <w:r>
        <w:t xml:space="preserve">Podpisy:</w:t>
      </w:r>
      <w:r>
        <w:t xml:space="preserve"> </w:t>
      </w:r>
      <w:r>
        <w:t xml:space="preserve">N.-B. Sp. z o.o. – D. K. (podpis)………………… data 15.10.2022</w:t>
      </w:r>
      <w:r>
        <w:t xml:space="preserve"> </w:t>
      </w:r>
      <w:r>
        <w:t xml:space="preserve">M. N. (podpis)………………… data 15.10.2022</w:t>
      </w:r>
    </w:p>
    <w:bookmarkEnd w:id="12"/>
    <w:bookmarkStart w:id="13" w:name="X336bcd7963d371e4276dcb2484909ca0ae5b69b"/>
    <w:p>
      <w:pPr>
        <w:pStyle w:val="Heading3"/>
      </w:pPr>
      <w:r>
        <w:t xml:space="preserve">Załącznik nr 2 – Wezwanie przedsądowe do zapłaty kar umownych i odszkodowania</w:t>
      </w:r>
    </w:p>
    <w:p>
      <w:pPr>
        <w:pStyle w:val="FirstParagraph"/>
      </w:pPr>
      <w:r>
        <w:t xml:space="preserve">WEZWANIE PRZEDSĄDOWE NR ████/██/███</w:t>
      </w:r>
      <w:r>
        <w:t xml:space="preserve"> </w:t>
      </w:r>
      <w:r>
        <w:t xml:space="preserve">WYSTAWCA: M. N., Warszawa</w:t>
      </w:r>
      <w:r>
        <w:t xml:space="preserve"> </w:t>
      </w:r>
      <w:r>
        <w:t xml:space="preserve">ADRESAT: N.-B. Sp. z o.o., Warszawa</w:t>
      </w:r>
      <w:r>
        <w:t xml:space="preserve"> </w:t>
      </w:r>
      <w:r>
        <w:t xml:space="preserve">DATA: 01 października 2024 r.</w:t>
      </w:r>
    </w:p>
    <w:p>
      <w:pPr>
        <w:pStyle w:val="BodyText"/>
      </w:pPr>
      <w:r>
        <w:t xml:space="preserve">Na podstawie Umowy deweloperskiej nr DEV/████/78 z dnia 15.10.2022 oraz w oparciu o treść §4, §10 i §11 Umowy wzywam N.-B. Sp. z o.o. do zapłaty następujących należności:</w:t>
      </w:r>
    </w:p>
    <w:p>
      <w:pPr>
        <w:pStyle w:val="Compact"/>
        <w:numPr>
          <w:ilvl w:val="0"/>
          <w:numId w:val="1016"/>
        </w:numPr>
      </w:pPr>
      <w:r>
        <w:t xml:space="preserve">Kary umowne za okres zwłoki od 01.07.2024 do 30.09.2024 (92 dni) – obliczenie:</w:t>
      </w:r>
    </w:p>
    <w:p>
      <w:pPr>
        <w:pStyle w:val="Compact"/>
        <w:numPr>
          <w:ilvl w:val="0"/>
          <w:numId w:val="1017"/>
        </w:numPr>
      </w:pPr>
      <w:r>
        <w:t xml:space="preserve">Dzienne odsetki kar umownych: 0,05% × 520 000,00 zł = 260,00 zł/dzień.</w:t>
      </w:r>
    </w:p>
    <w:p>
      <w:pPr>
        <w:pStyle w:val="Compact"/>
        <w:numPr>
          <w:ilvl w:val="0"/>
          <w:numId w:val="1017"/>
        </w:numPr>
      </w:pPr>
      <w:r>
        <w:t xml:space="preserve">Łącznie za 92 dni: 260,00 zł × 92 = 23 920,00 zł brutto.</w:t>
      </w:r>
    </w:p>
    <w:p>
      <w:pPr>
        <w:numPr>
          <w:ilvl w:val="0"/>
          <w:numId w:val="1018"/>
        </w:numPr>
      </w:pPr>
      <w:r>
        <w:t xml:space="preserve">Odszkodowanie za koszty najmu lokalu zastępczego (umowa najmu z dnia 05.07.2024): 3 200,00 zł/mies. za okres 01.07.2024–31.12.2024 (6 miesięcy) = 19 200,00 zł brutto.</w:t>
      </w:r>
    </w:p>
    <w:p>
      <w:pPr>
        <w:numPr>
          <w:ilvl w:val="0"/>
          <w:numId w:val="1018"/>
        </w:numPr>
      </w:pPr>
      <w:r>
        <w:t xml:space="preserve">Koszty przechowania mebli: 1 200,00 zł (rachunek z dnia 15.07.2024).</w:t>
      </w:r>
    </w:p>
    <w:p>
      <w:pPr>
        <w:pStyle w:val="FirstParagraph"/>
      </w:pPr>
      <w:r>
        <w:t xml:space="preserve">Razem wymagalne należności: 23 920,00 + 19 200,00 + 1 200,00 = 44 320,00 zł brutto.</w:t>
      </w:r>
    </w:p>
    <w:p>
      <w:pPr>
        <w:pStyle w:val="BodyText"/>
      </w:pPr>
      <w:r>
        <w:t xml:space="preserve">Wezwaniem żądam zapłaty powyższej kwoty w terminie 14 dni od daty doręczenia niniejszego wezwania na rachunek bankowy nr 12 3456 0000 0000 1234 5678 prowadzony przez Bank Polski S.A. W przypadku braku zapłaty w terminie zastrzegam podjęcie kroków prawnych, w tym wystąpienie na drogę sądową z żądaniem zapłaty należności, odsetek ustawowych od dnia wymagalności oraz zwrotu kosztów procesu i egzekucji.</w:t>
      </w:r>
    </w:p>
    <w:p>
      <w:pPr>
        <w:pStyle w:val="BodyText"/>
      </w:pPr>
      <w:r>
        <w:t xml:space="preserve">Uwaga: Niniejsze wezwanie nie stanowi odstąpienia od Umowy. Zastrzegam prawo do dochodzenia dodatkowych roszczeń, w tym odszkodowania przewyższającego wysokość kar umownych.</w:t>
      </w:r>
    </w:p>
    <w:p>
      <w:pPr>
        <w:pStyle w:val="BodyText"/>
      </w:pPr>
      <w:r>
        <w:t xml:space="preserve">Podpis: M. N. (podpis)………………… data 01.10.2024</w:t>
      </w:r>
      <w:r>
        <w:t xml:space="preserve"> </w:t>
      </w:r>
      <w:r>
        <w:t xml:space="preserve">Potwierdzenie doręczenia: list polecony A/2024/987654 – potwierdzenie odbioru 04.10.2024 (podpisane przez D. K. jako odbierającą pismo).</w:t>
      </w:r>
    </w:p>
    <w:bookmarkEnd w:id="13"/>
    <w:bookmarkEnd w:id="14"/>
    <w:bookmarkStart w:id="15" w:name="X5f55c529dcb1d793b97fef34425a948b67240c7"/>
    <w:p>
      <w:pPr>
        <w:pStyle w:val="Heading2"/>
      </w:pPr>
      <w:r>
        <w:t xml:space="preserve">III. Wytyczne i zadania do analizy prawnej dla prawnika</w:t>
      </w:r>
    </w:p>
    <w:p>
      <w:pPr>
        <w:pStyle w:val="FirstParagraph"/>
      </w:pPr>
      <w:r>
        <w:t xml:space="preserve">Proszę przygotować szczegółową analizę prawną, obejmującą w szczególności ustosunkowanie się do poniższych pytań i zagadnień, z przywołaniem właściwych przepisów prawa (Kodeks cywilny, ustawa o ochronie praw nabywcy lokalu mieszkalnego i domu jednorodzinnego z dnia 16.09.2011 r., przepisy o rachunkach powierniczych, przepisy o przedawnieniu oraz orzecznictwo sądów powszechnych i SN):</w:t>
      </w:r>
    </w:p>
    <w:p>
      <w:pPr>
        <w:numPr>
          <w:ilvl w:val="0"/>
          <w:numId w:val="1019"/>
        </w:numPr>
      </w:pPr>
      <w:r>
        <w:t xml:space="preserve">Ocena skuteczności postanowień Umowy dotyczących kar umownych (§11) oraz uprawnień Nabywcy do odszkodowania (§10). Czy zapis o karach umownych na poziomie 0,05% ceny brutto/dzień (maks. 10% ceny) jest ważny i wykonalny? Przywołaj przepisy Kodeksu cywilnego dotyczące kar umownych i ograniczeń (w tym możliwość zmiany kary przez sąd) oraz ewentualne kolizje z ustawą deweloperską.</w:t>
      </w:r>
    </w:p>
    <w:p>
      <w:pPr>
        <w:numPr>
          <w:ilvl w:val="0"/>
          <w:numId w:val="1019"/>
        </w:numPr>
      </w:pPr>
      <w:r>
        <w:t xml:space="preserve">Analiza roszczeń Klienta o odszkodowanie za koszty najmu i inne koszty (przeprowadzka, przechowanie) – czy i w jakim zakresie Nabywca może domagać się ich naprawienia? Wskaż podstawy prawne (m.in. odpowiedzialność kontraktowa, art. dotyczący odpowiedzialności za niewykonanie lub nienależyte wykonanie zobowiązania) oraz sposób dowodzenia i dokumentowania tych kosztów.</w:t>
      </w:r>
    </w:p>
    <w:p>
      <w:pPr>
        <w:numPr>
          <w:ilvl w:val="0"/>
          <w:numId w:val="1019"/>
        </w:numPr>
      </w:pPr>
      <w:r>
        <w:t xml:space="preserve">Interpretacja i znaczenie klauzuli dotyczącej siły wyższej (§12): czy powołanie się przez Dewelopera na „siłę wyższą” ma podstawy? Jakie przesłanki musi spełniać Deweloper, aby skutecznie się zwolnić od odpowiedzialności? Jak ocenić dotychczasową korespondencję (pisma z 20.07.2024 i 15.10.2024) pod kątem wymaganej dokumentacji siły wyższej? Oceń wykonalność zarzutu Dewelopera o przyczynieniu się innych podmiotów.</w:t>
      </w:r>
    </w:p>
    <w:p>
      <w:pPr>
        <w:numPr>
          <w:ilvl w:val="0"/>
          <w:numId w:val="1019"/>
        </w:numPr>
      </w:pPr>
      <w:r>
        <w:t xml:space="preserve">Terminy i przedawnienie roszczeń: od kiedy zaczyna biec termin na naliczanie kar umownych i od czego liczyć okres 180 dni do prawa odstąpienia? Jakie terminy przedawnienia będą miały zastosowanie do roszczeń Klienta (kary umowne, odszkodowanie, zwrot wpłaconych środków) – wskaż podstawy prawne i daty graniczne mające praktyczne znaczenie (określ, które roszczenia przedawniają się po 3, a które po 6 latach).</w:t>
      </w:r>
    </w:p>
    <w:p>
      <w:pPr>
        <w:numPr>
          <w:ilvl w:val="0"/>
          <w:numId w:val="1019"/>
        </w:numPr>
      </w:pPr>
      <w:r>
        <w:t xml:space="preserve">Kwestie dowodowe i strategia procesowa: jakie dowody należy zgromadzić i jakie wnioski dowodowe warto przewidzieć? Oceń siłę dowodową dokumentów dostarczonych przez Klienta (umowa, e-maile, wezwanie przedsądowe, umowa najmu, rachunki). Czy konieczne jest zlecenie opinii biegłego (np. budowlanego) lub wezwanie dokumentacji od organów administracji (np. protokoły nadzoru budowlanego)? Zaproponuj alternatywne drogi postępowania (postępowanie przed UOKiK, mediacja).</w:t>
      </w:r>
    </w:p>
    <w:p>
      <w:pPr>
        <w:numPr>
          <w:ilvl w:val="0"/>
          <w:numId w:val="1019"/>
        </w:numPr>
      </w:pPr>
      <w:r>
        <w:t xml:space="preserve">Wyliczenie i weryfikacja kwotowe roszczenia Klienta na dzień 10.08.2025 (przy założeniu, że akt notarialny nie został zawarty do tej daty): naliczenie kar umownych, odsetek ustawowych, odszkodowania za najem i koszty dodatkowe. Wskaż sposób kalkulacji i ewentualne ryzyka obniżenia kwoty przez sąd.</w:t>
      </w:r>
    </w:p>
    <w:bookmarkEnd w:id="15"/>
    <w:bookmarkStart w:id="16" w:name="X99ad22c303571be48bb8b45f682f47b2448a1a3"/>
    <w:p>
      <w:pPr>
        <w:pStyle w:val="Heading2"/>
      </w:pPr>
      <w:r>
        <w:t xml:space="preserve">IV. Wymagane dokumenty i pisma do przygotowania</w:t>
      </w:r>
    </w:p>
    <w:p>
      <w:pPr>
        <w:pStyle w:val="FirstParagraph"/>
      </w:pPr>
      <w:r>
        <w:t xml:space="preserve">Proszę sporządzić następujące dokumenty/pisma procesowe i pozaprocesowe (w wersji roboczej do zatwierdzenia przez Klienta):</w:t>
      </w:r>
    </w:p>
    <w:p>
      <w:pPr>
        <w:pStyle w:val="Compact"/>
        <w:numPr>
          <w:ilvl w:val="0"/>
          <w:numId w:val="1020"/>
        </w:numPr>
      </w:pPr>
      <w:r>
        <w:t xml:space="preserve">Szczegółowa opinia prawna dla Klienta obejmująca aspekty prawne i kwotowe oraz rekomendacje dalszych kroków (wyczerpująca analiza paragrafów Umowy i przepisów).</w:t>
      </w:r>
    </w:p>
    <w:p>
      <w:pPr>
        <w:pStyle w:val="Compact"/>
        <w:numPr>
          <w:ilvl w:val="0"/>
          <w:numId w:val="1020"/>
        </w:numPr>
      </w:pPr>
      <w:r>
        <w:t xml:space="preserve">Wezwanie ostateczne do zapłaty (przedprocesowe) z żądaniem zapłaty kar umownych i odszkodowań z wyznaczeniem 7-dniowego terminu i wnioskiem o zabezpieczenie w razie braku dobrowolnej zapłaty.</w:t>
      </w:r>
    </w:p>
    <w:p>
      <w:pPr>
        <w:pStyle w:val="Compact"/>
        <w:numPr>
          <w:ilvl w:val="0"/>
          <w:numId w:val="1020"/>
        </w:numPr>
      </w:pPr>
      <w:r>
        <w:t xml:space="preserve">Projekt pozwu cywilnego o zapłatę (zabezpieczenie roszczeń) z żądaniem zapłaty kar umownych, odszkodowania i kosztów procesu oraz wnioskiem o przyznanie zabezpieczenia roszczeń (art. 730 k.p.c. lub właściwe środki zabezpieczające).</w:t>
      </w:r>
    </w:p>
    <w:p>
      <w:pPr>
        <w:pStyle w:val="Compact"/>
        <w:numPr>
          <w:ilvl w:val="0"/>
          <w:numId w:val="1020"/>
        </w:numPr>
      </w:pPr>
      <w:r>
        <w:t xml:space="preserve">Alternatywnie: projekt oświadczenia o odstąpieniu od Umowy z żądaniem zwrotu wpłaconych środków wraz z odsetkami ustawowymi i kosztami (w sytuacji przekroczenia 180 dni zwłoki albo odmowy wykonania).</w:t>
      </w:r>
    </w:p>
    <w:p>
      <w:pPr>
        <w:pStyle w:val="FirstParagraph"/>
      </w:pPr>
      <w:r>
        <w:t xml:space="preserve">Uwaga: Nie sporządzaj w tej fazie gotowych rozwiązań merytorycznych – materiały służą wyłącznie jako wejście dla prawnika.</w:t>
      </w:r>
    </w:p>
    <w:p>
      <w:r>
        <w:pict>
          <v:rect style="width:0;height:1.5pt" o:hralign="center" o:hrstd="t" o:hr="t"/>
        </w:pict>
      </w:r>
    </w:p>
    <w:bookmarkEnd w:id="16"/>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5">
    <w:abstractNumId w:val="991"/>
  </w:num>
  <w:num w:numId="100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7">
    <w:abstractNumId w:val="991"/>
  </w:num>
  <w:num w:numId="1008">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9">
    <w:abstractNumId w:val="991"/>
  </w:num>
  <w:num w:numId="101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1">
    <w:abstractNumId w:val="991"/>
  </w:num>
  <w:num w:numId="1012">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3">
    <w:abstractNumId w:val="991"/>
  </w:num>
  <w:num w:numId="1014">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2026-10-05T13:29:42Z</dcterms:created>
  <dcterms:modified xsi:type="dcterms:W3CDTF">2026-10-05T13:29:42Z</dcterms:modified>
</cp:coreProperties>
</file>

<file path=docProps/custom.xml><?xml version="1.0" encoding="utf-8"?>
<Properties xmlns="http://schemas.openxmlformats.org/officeDocument/2006/custom-properties" xmlns:vt="http://schemas.openxmlformats.org/officeDocument/2006/docPropsVTypes"/>
</file>