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sprawa-055-rozwiązanie-casebox"/>
    <w:p>
      <w:pPr>
        <w:pStyle w:val="Heading1"/>
      </w:pPr>
      <w:r>
        <w:t xml:space="preserve">Sprawa 055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Przedstawiamy kompleksową analizę prawną sprawy Pani A. N. dotyczącej umowy deweloperskiej i rachunku powierniczego.</w:t>
      </w:r>
    </w:p>
    <w:bookmarkEnd w:id="9"/>
    <w:bookmarkStart w:id="10" w:name="podsumowanie-sprawy"/>
    <w:p>
      <w:pPr>
        <w:pStyle w:val="Heading2"/>
      </w:pPr>
      <w:r>
        <w:t xml:space="preserve">Podsumowanie sprawy</w:t>
      </w:r>
    </w:p>
    <w:p>
      <w:pPr>
        <w:pStyle w:val="FirstParagraph"/>
      </w:pPr>
      <w:r>
        <w:t xml:space="preserve">A. N., Klientka naszej Kancelarii, w dniu 10 stycznia 2024 r. zawarła umowę deweloperską nr DI/████/███ ze spółką D. sp. z o.o. na zakup mieszkania o wartości 620 000,00 zł brutto [Źródło 1]. Pięć dni później, 15 stycznia 2024 r., wpłaciła 62 000,00 zł (10% ceny) na mieszkaniowy rachunek powierniczy prowadzony przez B. S.A., wskazany w umowie [Źródło 1]. Umowa deweloperska (§ 6) stanowiła, że środki na rachunku będą gromadzone na rzecz Nabywcy i D. sp. z o.o.a, a dysponowanie nimi nastąpi po zatwierdzeniu przez B. S.A. i przedstawieniu dokumentów potwierdzających etap inwestycji. Zaznaczono również, że w przypadku upadłości lub niewypłacalności dewelopera, środki pozostają własnością nabywcy i podlegają zwrotowi, z zastrzeżeniem praw banku wynikających z odrębnych umów zabezpieczających [Źródło 1].</w:t>
      </w:r>
    </w:p>
    <w:p>
      <w:pPr>
        <w:pStyle w:val="BodyText"/>
      </w:pPr>
      <w:r>
        <w:t xml:space="preserve">W dniu 20 maja 2024 r. B. S.A. poinformował nabywców o „zamrożeniu” rachunku powierniczego w celu zabezpieczenia wierzytelności banku wobec dewelopera, wynikających z umowy kredytowej KRD/████/████ [Źródło 1]. Następnie, 1 lipca 2024 r., deweloper ogłosił „restrukturyzację” i wezwanie wierzycieli [Źródło 1]. Po zgłoszeniu reklamacji przez Panią Nowak do B. S.A.u w dniu 15 sierpnia 2024 r., B. S.A. odmówił zwrotu środków 5 września 2024 r., powołując się na zabezpieczenie wierzytelności (hipoteka przymusowa, cesja) i obciążenie środków na rachunku [Źródło 1]. Jednocześnie deweloper żąda od Klientki dodatkowej wpłaty (31 000,00 zł) i twierdzi, że rachunek powierniczy nie jest rachunkiem zamkniętym, a środki są współwłasnością. D. sp. z o.o. nie przedstawił dokumentów potwierdzających wykonanie kolejnego etapu inwestycji [Źródło 1].</w:t>
      </w:r>
    </w:p>
    <w:p>
      <w:pPr>
        <w:pStyle w:val="BodyText"/>
      </w:pPr>
      <w:r>
        <w:t xml:space="preserve">Klientka dąży do odzyskania wpłaconych 62 000,00 zł oraz zabezpieczenia roszczenia przed dalszym dysponowaniem środkami na rachunku powierniczym. Rozważa skierowanie sprawy na drogę sądową z powództwem o zapłatę wraz z wnioskiem o zabezpieczenie roszczenia [Źródło 1].</w:t>
      </w:r>
    </w:p>
    <w:bookmarkEnd w:id="10"/>
    <w:bookmarkStart w:id="11" w:name="kluczowe-dane"/>
    <w:p>
      <w:pPr>
        <w:pStyle w:val="Heading2"/>
      </w:pPr>
      <w:r>
        <w:t xml:space="preserve">Kluczowe dane</w:t>
      </w:r>
    </w:p>
    <w:p>
      <w:pPr>
        <w:pStyle w:val="Compact"/>
        <w:numPr>
          <w:ilvl w:val="0"/>
          <w:numId w:val="1001"/>
        </w:numPr>
      </w:pPr>
      <w:r>
        <w:rPr>
          <w:b/>
          <w:bCs/>
        </w:rPr>
        <w:t xml:space="preserve">Nabywca / Klientka:</w:t>
      </w:r>
      <w:r>
        <w:t xml:space="preserve"> </w:t>
      </w:r>
      <w:r>
        <w:t xml:space="preserve">A. N., zam. Piaseczno [Źródło 1].</w:t>
      </w:r>
    </w:p>
    <w:p>
      <w:pPr>
        <w:pStyle w:val="Compact"/>
        <w:numPr>
          <w:ilvl w:val="0"/>
          <w:numId w:val="1001"/>
        </w:numPr>
      </w:pPr>
      <w:r>
        <w:rPr>
          <w:b/>
          <w:bCs/>
        </w:rPr>
        <w:t xml:space="preserve">D. sp. z o.o.:</w:t>
      </w:r>
      <w:r>
        <w:t xml:space="preserve"> </w:t>
      </w:r>
      <w:r>
        <w:t xml:space="preserve">D. sp. z o.o., Warszawa [Źródło 1].</w:t>
      </w:r>
    </w:p>
    <w:p>
      <w:pPr>
        <w:pStyle w:val="Compact"/>
        <w:numPr>
          <w:ilvl w:val="0"/>
          <w:numId w:val="1001"/>
        </w:numPr>
      </w:pPr>
      <w:r>
        <w:rPr>
          <w:b/>
          <w:bCs/>
        </w:rPr>
        <w:t xml:space="preserve">B. S.A.:</w:t>
      </w:r>
      <w:r>
        <w:t xml:space="preserve"> </w:t>
      </w:r>
      <w:r>
        <w:t xml:space="preserve">B. S.A. [Źródło 1].</w:t>
      </w:r>
    </w:p>
    <w:p>
      <w:pPr>
        <w:pStyle w:val="Compact"/>
        <w:numPr>
          <w:ilvl w:val="0"/>
          <w:numId w:val="1001"/>
        </w:numPr>
      </w:pPr>
      <w:r>
        <w:rPr>
          <w:b/>
          <w:bCs/>
        </w:rPr>
        <w:t xml:space="preserve">Data zawarcia umowy deweloperskiej:</w:t>
      </w:r>
      <w:r>
        <w:t xml:space="preserve"> </w:t>
      </w:r>
      <w:r>
        <w:t xml:space="preserve">10 stycznia 2024 r. [Źródło 1].</w:t>
      </w:r>
    </w:p>
    <w:p>
      <w:pPr>
        <w:pStyle w:val="Compact"/>
        <w:numPr>
          <w:ilvl w:val="0"/>
          <w:numId w:val="1001"/>
        </w:numPr>
      </w:pPr>
      <w:r>
        <w:rPr>
          <w:b/>
          <w:bCs/>
        </w:rPr>
        <w:t xml:space="preserve">Numer umowy deweloperskiej:</w:t>
      </w:r>
      <w:r>
        <w:t xml:space="preserve"> </w:t>
      </w:r>
      <w:r>
        <w:t xml:space="preserve">DI/████/███ [Źródło 1].</w:t>
      </w:r>
    </w:p>
    <w:p>
      <w:pPr>
        <w:pStyle w:val="Compact"/>
        <w:numPr>
          <w:ilvl w:val="0"/>
          <w:numId w:val="1001"/>
        </w:numPr>
      </w:pPr>
      <w:r>
        <w:rPr>
          <w:b/>
          <w:bCs/>
        </w:rPr>
        <w:t xml:space="preserve">Cena zakupu mieszkania:</w:t>
      </w:r>
      <w:r>
        <w:t xml:space="preserve"> </w:t>
      </w:r>
      <w:r>
        <w:t xml:space="preserve">620 000,00 zł brutto [Źródło 1].</w:t>
      </w:r>
    </w:p>
    <w:p>
      <w:pPr>
        <w:pStyle w:val="Compact"/>
        <w:numPr>
          <w:ilvl w:val="0"/>
          <w:numId w:val="1001"/>
        </w:numPr>
      </w:pPr>
      <w:r>
        <w:rPr>
          <w:b/>
          <w:bCs/>
        </w:rPr>
        <w:t xml:space="preserve">Data wpłaty zaliczki:</w:t>
      </w:r>
      <w:r>
        <w:t xml:space="preserve"> </w:t>
      </w:r>
      <w:r>
        <w:t xml:space="preserve">15 stycznia 2024 r. [Źródło 1].</w:t>
      </w:r>
    </w:p>
    <w:p>
      <w:pPr>
        <w:pStyle w:val="Compact"/>
        <w:numPr>
          <w:ilvl w:val="0"/>
          <w:numId w:val="1001"/>
        </w:numPr>
      </w:pPr>
      <w:r>
        <w:rPr>
          <w:b/>
          <w:bCs/>
        </w:rPr>
        <w:t xml:space="preserve">Kwota wpłaconej zaliczki:</w:t>
      </w:r>
      <w:r>
        <w:t xml:space="preserve"> </w:t>
      </w:r>
      <w:r>
        <w:t xml:space="preserve">62 000,00 zł (10% ceny) [Źródło 1].</w:t>
      </w:r>
    </w:p>
    <w:p>
      <w:pPr>
        <w:pStyle w:val="Compact"/>
        <w:numPr>
          <w:ilvl w:val="0"/>
          <w:numId w:val="1001"/>
        </w:numPr>
      </w:pPr>
      <w:r>
        <w:rPr>
          <w:b/>
          <w:bCs/>
        </w:rPr>
        <w:t xml:space="preserve">Data informacji B. S.A.u o „zamrożeniu” rachunku:</w:t>
      </w:r>
      <w:r>
        <w:t xml:space="preserve"> </w:t>
      </w:r>
      <w:r>
        <w:t xml:space="preserve">20 maja 2024 r. [Źródło 1].</w:t>
      </w:r>
    </w:p>
    <w:p>
      <w:pPr>
        <w:pStyle w:val="Compact"/>
        <w:numPr>
          <w:ilvl w:val="0"/>
          <w:numId w:val="1001"/>
        </w:numPr>
      </w:pPr>
      <w:r>
        <w:rPr>
          <w:b/>
          <w:bCs/>
        </w:rPr>
        <w:t xml:space="preserve">Numer umowy kredytowej B. S.A.-D. sp. z o.o. (hipotetyczny):</w:t>
      </w:r>
      <w:r>
        <w:t xml:space="preserve"> </w:t>
      </w:r>
      <w:r>
        <w:t xml:space="preserve">KRD/████/████ [Źródło 1].</w:t>
      </w:r>
    </w:p>
    <w:p>
      <w:pPr>
        <w:pStyle w:val="Compact"/>
        <w:numPr>
          <w:ilvl w:val="0"/>
          <w:numId w:val="1001"/>
        </w:numPr>
      </w:pPr>
      <w:r>
        <w:rPr>
          <w:b/>
          <w:bCs/>
        </w:rPr>
        <w:t xml:space="preserve">Data ogłoszenia „restrukturyzacji” przez D. sp. z o.o.a:</w:t>
      </w:r>
      <w:r>
        <w:t xml:space="preserve"> </w:t>
      </w:r>
      <w:r>
        <w:t xml:space="preserve">1 lipca 2024 r. [Źródło 1].</w:t>
      </w:r>
    </w:p>
    <w:p>
      <w:pPr>
        <w:pStyle w:val="Compact"/>
        <w:numPr>
          <w:ilvl w:val="0"/>
          <w:numId w:val="1001"/>
        </w:numPr>
      </w:pPr>
      <w:r>
        <w:rPr>
          <w:b/>
          <w:bCs/>
        </w:rPr>
        <w:t xml:space="preserve">Data zgłoszenia reklamacji do B. S.A.u przez Panią Nowak:</w:t>
      </w:r>
      <w:r>
        <w:t xml:space="preserve"> </w:t>
      </w:r>
      <w:r>
        <w:t xml:space="preserve">15 sierpnia 2024 r. [Źródło 1].</w:t>
      </w:r>
    </w:p>
    <w:p>
      <w:pPr>
        <w:pStyle w:val="Compact"/>
        <w:numPr>
          <w:ilvl w:val="0"/>
          <w:numId w:val="1001"/>
        </w:numPr>
      </w:pPr>
      <w:r>
        <w:rPr>
          <w:b/>
          <w:bCs/>
        </w:rPr>
        <w:t xml:space="preserve">Data odmowy zwrotu środków przez B. S.A.:</w:t>
      </w:r>
      <w:r>
        <w:t xml:space="preserve"> </w:t>
      </w:r>
      <w:r>
        <w:t xml:space="preserve">5 września 2024 r. [Źródło 1].</w:t>
      </w:r>
    </w:p>
    <w:p>
      <w:pPr>
        <w:pStyle w:val="Compact"/>
        <w:numPr>
          <w:ilvl w:val="0"/>
          <w:numId w:val="1001"/>
        </w:numPr>
      </w:pPr>
      <w:r>
        <w:rPr>
          <w:b/>
          <w:bCs/>
        </w:rPr>
        <w:t xml:space="preserve">Dodatkowa kwota żądana przez D. sp. z o.o.a:</w:t>
      </w:r>
      <w:r>
        <w:t xml:space="preserve"> </w:t>
      </w:r>
      <w:r>
        <w:t xml:space="preserve">31 000,00 zł [Źródło 1].</w:t>
      </w:r>
    </w:p>
    <w:bookmarkEnd w:id="11"/>
    <w:bookmarkStart w:id="12" w:name="żądania-i-twierdzenia-stron"/>
    <w:p>
      <w:pPr>
        <w:pStyle w:val="Heading2"/>
      </w:pPr>
      <w:r>
        <w:t xml:space="preserve">Żądania i twierdzenia stron</w:t>
      </w:r>
    </w:p>
    <w:p>
      <w:pPr>
        <w:pStyle w:val="FirstParagraph"/>
      </w:pPr>
      <w:r>
        <w:rPr>
          <w:b/>
          <w:bCs/>
        </w:rPr>
        <w:t xml:space="preserve">Żądania i twierdzenia Pani A. N. (Klientki):</w:t>
      </w:r>
      <w:r>
        <w:t xml:space="preserve"> </w:t>
      </w:r>
      <w:r>
        <w:t xml:space="preserve">A. N. wnioskuje o odzyskanie wpłaconych 62 000,00 zł [Źródło 1]. Ponadto, dąży do zabezpieczenia roszczenia przed dalszym dysponowaniem środkami na mieszkaniowym rachunku powierniczym przez dewelopera lub bank [Źródło 1]. Argumentuje, że środki wpłacone na rachunek powierniczy powinny być chronione przed wierzycielami dewelopera, a bank nie miał prawa ich</w:t>
      </w:r>
      <w:r>
        <w:t xml:space="preserve"> </w:t>
      </w:r>
      <w:r>
        <w:t xml:space="preserve">“zamrozić”</w:t>
      </w:r>
      <w:r>
        <w:t xml:space="preserve"> </w:t>
      </w:r>
      <w:r>
        <w:t xml:space="preserve">ani odmówić zwrotu.</w:t>
      </w:r>
    </w:p>
    <w:p>
      <w:pPr>
        <w:pStyle w:val="BodyText"/>
      </w:pPr>
      <w:r>
        <w:rPr>
          <w:b/>
          <w:bCs/>
        </w:rPr>
        <w:t xml:space="preserve">Twierdzenia D. sp. z o.o.a (D. sp. z o.o.):</w:t>
      </w:r>
      <w:r>
        <w:t xml:space="preserve"> </w:t>
      </w:r>
      <w:r>
        <w:t xml:space="preserve">D. sp. z o.o. ogłosił „restrukturyzację” [Źródło 1]. Żąda od A. N. dodatkowej wpłaty w wysokości 31 000,00 zł [Źródło 1]. Twierdzi, że rachunek powierniczy nie jest rachunkiem zamkniętym, a środki zgromadzone na nim są współwłasnością dewelopera i nabywcy [Źródło 1]. Nie przedstawił dokumentów potwierdzających wykonanie kolejnego etapu inwestycji [Źródło 1].</w:t>
      </w:r>
    </w:p>
    <w:p>
      <w:pPr>
        <w:pStyle w:val="BodyText"/>
      </w:pPr>
      <w:r>
        <w:rPr>
          <w:b/>
          <w:bCs/>
        </w:rPr>
        <w:t xml:space="preserve">Twierdzenia B. S.A.:</w:t>
      </w:r>
      <w:r>
        <w:t xml:space="preserve"> </w:t>
      </w:r>
      <w:r>
        <w:t xml:space="preserve">B. S.A. poinformował o „zamrożeniu” rachunku powierniczego, powołując się na zabezpieczenie wierzytelności banku wobec dewelopera, wynikających z umowy kredytowej KRD/████/████ [Źródło 1]. Odmówił zwrotu wpłaconych środków Klientce, wskazując na zabezpieczenie wierzytelności (hipoteka przymusowa, cesja) i obciążenie środków na rachunku [Źródło 1].</w:t>
      </w:r>
    </w:p>
    <w:bookmarkEnd w:id="12"/>
    <w:bookmarkStart w:id="21" w:name="ocena-prawna"/>
    <w:p>
      <w:pPr>
        <w:pStyle w:val="Heading2"/>
      </w:pPr>
      <w:r>
        <w:t xml:space="preserve">Ocena prawna</w:t>
      </w:r>
    </w:p>
    <w:p>
      <w:pPr>
        <w:pStyle w:val="FirstParagraph"/>
      </w:pPr>
      <w:r>
        <w:t xml:space="preserve">Na wstępie należy zaznaczyć, że pełna i precyzyjna ocena prawna wymaga dostępu do treści ustawy z dnia 16 września 2011 r. o ochronie praw nabywcy lokalu lub domu jednorodzinnego (tzw. ustawa deweloperska) oraz ustawy z dnia 29 sierpnia 1997 r. – Prawo bankowe. Przepisy tych ustaw, kluczowe dla rozstrzygnięcia niniejszej sprawy, nie zostały mi dostarczone w aktualnym stanie prawnym. Poniższa analiza opiera się zatem na ogólnych zasadach prawa cywilnego i procesowego (Kodeks cywilny, Kodeks postępowania cywilnego) oraz informacjach zawartych w kazusie, z założeniem, że umowa deweloperska była zawierana w reżimie ustawy deweloperskiej, która wprowadziła mieszkaniowe rachunki powiernicze jako instrument ochronny dla nabywców.</w:t>
      </w:r>
    </w:p>
    <w:bookmarkStart w:id="13" w:name="X013b2566b6b9ccd071bdec797c0ff7e6c100a0f"/>
    <w:p>
      <w:pPr>
        <w:pStyle w:val="Heading3"/>
      </w:pPr>
      <w:r>
        <w:t xml:space="preserve">1. Kwalifikacja prawna stanu faktycznego, ocena ważności/skuteczności kluczowych postanowień umowy i czynności stron, zastosowanie właściwych przepisów</w:t>
      </w:r>
    </w:p>
    <w:p>
      <w:pPr>
        <w:pStyle w:val="FirstParagraph"/>
      </w:pPr>
      <w:r>
        <w:t xml:space="preserve">Zgodnie z informacjami z kazusu, A. N. zawarła umowę deweloperską z D. sp. z o.o., a wpłaty dokonywała na</w:t>
      </w:r>
      <w:r>
        <w:t xml:space="preserve"> </w:t>
      </w:r>
      <w:r>
        <w:t xml:space="preserve">“mieszkaniowy rachunek powierniczy”</w:t>
      </w:r>
      <w:r>
        <w:t xml:space="preserve"> </w:t>
      </w:r>
      <w:r>
        <w:t xml:space="preserve">prowadzony przez B. S.A. [Źródło 1]. Instytucja mieszkaniowego rachunku powierniczego została wprowadzona przez ustawę deweloperską (założenie, że umowa deweloperska objęta jest jej reżimem). Celem tej regulacji jest ochrona środków wpłacanych przez nabywców, poprzez stworzenie mechanizmu, który zapewnia bezpieczeństwo ich kapitału w przypadku problemów finansowych dewelopera.</w:t>
      </w:r>
    </w:p>
    <w:p>
      <w:pPr>
        <w:pStyle w:val="BodyText"/>
      </w:pPr>
      <w:r>
        <w:rPr>
          <w:b/>
          <w:bCs/>
        </w:rPr>
        <w:t xml:space="preserve">Mieszkaniowy rachunek powierniczy</w:t>
      </w:r>
      <w:r>
        <w:t xml:space="preserve"> </w:t>
      </w:r>
      <w:r>
        <w:t xml:space="preserve">w rozumieniu ustawy deweloperskiej jest szczególnym rodzajem rachunku bankowego, na który nabywcy wpłacają środki pieniężne. B. S.A. ma obowiązek wypłacać deweloperowi środki z tego rachunku dopiero po stwierdzeniu zakończenia danego etapu budowy, zgodnie z harmonogramem przedsięwzięcia deweloperskiego. Kluczowe jest, że środki zgromadzone na mieszkaniowym rachunku powierniczym są prawnie wydzielone z majątku dewelopera i w przypadku ogłoszenia jego upadłości podlegają zwrotowi nabywcom, co ma zapobiegać ich włączeniu do masy upadłości.</w:t>
      </w:r>
    </w:p>
    <w:p>
      <w:pPr>
        <w:pStyle w:val="BodyText"/>
      </w:pPr>
      <w:r>
        <w:rPr>
          <w:b/>
          <w:bCs/>
        </w:rPr>
        <w:t xml:space="preserve">Ocena postanowień umowy deweloperskiej (§ 6 ust. 1-3):</w:t>
      </w:r>
      <w:r>
        <w:t xml:space="preserve"> </w:t>
      </w:r>
      <w:r>
        <w:t xml:space="preserve">Postanowienia umowy deweloperskiej dotyczące rachunku powierniczego [Źródło 1] wydają się zgodne z ogólnymi założeniami ustawy deweloperskiej. Fakt, że umowa przewiduje gromadzenie środków na rachunku powierniczym na rzecz nabywcy i dewelopera oraz dysponowanie nimi po zatwierdzeniu przez B. S.A. i przedstawieniu dokumentów potwierdzających etap inwestycji, świadczy o próbie zastosowania regulacji prawnych mających chronić nabywcę. Klauzula mówiąca, że</w:t>
      </w:r>
      <w:r>
        <w:t xml:space="preserve"> </w:t>
      </w:r>
      <w:r>
        <w:t xml:space="preserve">“w przypadku upadłości lub niewypłacalności dewelopera, środki pozostają własnością nabywcy i podlegają zwrotowi, z zastrzeżeniem praw banku wynikających z odrębnych umów zabezpieczających”</w:t>
      </w:r>
      <w:r>
        <w:t xml:space="preserve"> </w:t>
      </w:r>
      <w:r>
        <w:t xml:space="preserve">[Źródło 1] jest kluczowa.</w:t>
      </w:r>
    </w:p>
    <w:p>
      <w:pPr>
        <w:pStyle w:val="BodyText"/>
      </w:pPr>
      <w:r>
        <w:t xml:space="preserve">Jednakże,</w:t>
      </w:r>
      <w:r>
        <w:t xml:space="preserve"> </w:t>
      </w:r>
      <w:r>
        <w:t xml:space="preserve">“zastrzeżenie praw banku wynikających z odrębnych umów zabezpieczających”</w:t>
      </w:r>
      <w:r>
        <w:t xml:space="preserve"> </w:t>
      </w:r>
      <w:r>
        <w:t xml:space="preserve">jest problematyczne. Zgodnie z założeniami ustawy deweloperskiej, mieszkaniowy rachunek powierniczy ma chronić nabywcę. Środki na nim powinny być traktowane jako majątek powierzony, a nie jako majątek dewelopera podlegający zabezpieczeniom zaciągniętym przez dewelopera u banku finansującego inwestycję. Jeżeli bank przyjął rachunek powierniczy jako zabezpieczenie własnych wierzytelności wobec dewelopera, może to być sprzeczne z istotą i celem rachunku powierniczego wynikającym z ustawy deweloperskiej i Prawa bankowego. Skuteczność tego typu zabezpieczeń wobec nabywcy jest wysoce wątpliwa w świetle nadrzędnej funkcji ochronnej rachunku powierniczego.</w:t>
      </w:r>
      <w:r>
        <w:t xml:space="preserve"> </w:t>
      </w:r>
      <w:r>
        <w:t xml:space="preserve">Zgodnie z art. 72 Kodeksu cywilnego, umowa zostaje zawarta, gdy strony dojdą do porozumienia co do wszystkich jej postanowień [Kodeks cywilny Art. 72 § 1]. Postanowienia § 6 umowy deweloperskiej w aspekcie ochrony nabywcy, w przypadku zastosowania ustawy deweloperskiej, powinny być interpretowane na korzyść nabywcy, jako konsumenta.</w:t>
      </w:r>
    </w:p>
    <w:p>
      <w:pPr>
        <w:pStyle w:val="BodyText"/>
      </w:pPr>
      <w:r>
        <w:rPr>
          <w:b/>
          <w:bCs/>
        </w:rPr>
        <w:t xml:space="preserve">Kwalifikacja działań B. S.A.:</w:t>
      </w:r>
      <w:r>
        <w:t xml:space="preserve"> </w:t>
      </w:r>
      <w:r>
        <w:t xml:space="preserve">“Zamrożenie”</w:t>
      </w:r>
      <w:r>
        <w:t xml:space="preserve"> </w:t>
      </w:r>
      <w:r>
        <w:t xml:space="preserve">rachunku powierniczego przez bank i odmowa zwrotu środków z powołaniem się na zabezpieczenia wierzytelności z umowy kredytowej KRD/████/████ (hipoteka przymusowa, cesja) [Źródło 1] stanowi bezpośrednie naruszenie zasady odrębności środków na rachunku powierniczym. B. S.A. jako podmiot prowadzący rachunek powierniczy działa w charakterze powiernika środków należących do nabywcy. W takim wypadku bank jest zobowiązany do przestrzegania zasad funkcjonowania tego rachunku, które mają chronić nabywcę. Działania banku, o ile faktycznie naruszają przepisy ustawy deweloperskiej (których treści mi brak, ale o to wnioskuję z opisu przypadku), mogą być uznane za bezprawne.</w:t>
      </w:r>
    </w:p>
    <w:p>
      <w:pPr>
        <w:pStyle w:val="BodyText"/>
      </w:pPr>
      <w:r>
        <w:rPr>
          <w:b/>
          <w:bCs/>
        </w:rPr>
        <w:t xml:space="preserve">Kwalifikacja działań D. sp. z o.o.a D. sp. z o.o.:</w:t>
      </w:r>
      <w:r>
        <w:t xml:space="preserve"> </w:t>
      </w:r>
      <w:r>
        <w:t xml:space="preserve">Żądanie dodatkowej wpłaty 31 000,00 zł, przy jednoczesnym braku przedstawienia dokumentów potwierdzających wykonanie kolejnego etapu inwestycji [Źródło 1], jest działaniem niezgodnym z umową deweloperską (w założeniu zgodną z ustawą deweloperską) i zasadami funkcjonowania rachunku powierniczego. Ogłoszenie</w:t>
      </w:r>
      <w:r>
        <w:t xml:space="preserve"> </w:t>
      </w:r>
      <w:r>
        <w:t xml:space="preserve">“restrukturyzacji”</w:t>
      </w:r>
      <w:r>
        <w:t xml:space="preserve"> </w:t>
      </w:r>
      <w:r>
        <w:t xml:space="preserve">i wezwanie wierzycieli [Źródło 1] wskazuje na poważne problemy finansowe dewelopera, co aktywuje mechanizmy ochronne przewidziane dla nabywców.</w:t>
      </w:r>
    </w:p>
    <w:bookmarkEnd w:id="13"/>
    <w:bookmarkStart w:id="20" w:name="Xbe5410fce4dc2a615cc76fe9b108b31f04c4b66"/>
    <w:p>
      <w:pPr>
        <w:pStyle w:val="Heading3"/>
      </w:pPr>
      <w:r>
        <w:t xml:space="preserve">2. Odpowiedź na wszystkie zagadnienia z części III kazusu</w:t>
      </w:r>
    </w:p>
    <w:bookmarkStart w:id="14" w:name="X8db950becdeddef3e564a532ad5fb6d22513218"/>
    <w:p>
      <w:pPr>
        <w:pStyle w:val="Heading4"/>
      </w:pPr>
      <w:r>
        <w:t xml:space="preserve">Ad. 1. Ocena prawna skuteczności postanowień umowy deweloperskiej (§ 6 ust. 1–3) w zakresie ustanowienia „mieszkaniowego rachunku powierniczego”: czy postanowienia umowy skutecznie tworzą ochronę wpłat Nabywcy przed wierzycielami dewelopera?</w:t>
      </w:r>
    </w:p>
    <w:p>
      <w:pPr>
        <w:pStyle w:val="Compact"/>
        <w:numPr>
          <w:ilvl w:val="0"/>
          <w:numId w:val="1002"/>
        </w:numPr>
      </w:pPr>
      <w:r>
        <w:rPr>
          <w:b/>
          <w:bCs/>
        </w:rPr>
        <w:t xml:space="preserve">Zastosowanie ustawy deweloperskiej, Prawa bankowego i Kodeksu cywilnego:</w:t>
      </w:r>
      <w:r>
        <w:t xml:space="preserve"> </w:t>
      </w:r>
      <w:r>
        <w:t xml:space="preserve">Zgodnie z opisem sprawy, umowa deweloperska dotyczy zakupu mieszkania, co sugeruje zastosowanie ustawy o ochronie praw nabywcy lokalu lub domu jednorodzinnego (ustawa deweloperska). Choć nie mam dostępu do jej treści, kluczowe jest to, że wprowadza ona mechanizm mieszkaniowego rachunku powierniczego. Zgodnie z Prawem bankowym (brak szczegółowych przepisów w kontekście, ale odwołuję się do ogólnej wiedzy o jego regulacjach), rachunek powierniczy jest rachunkiem przeznaczonym do gromadzenia środków pieniężnych należących do osób trzecich (powierników) na rzecz beneficjentów (w tym przypadku nabywców). Środki te są wyłączone z majątku powiernika (dewelopera) i nie powinny podlegać egzekucji z tytułu jego długów.</w:t>
      </w:r>
      <w:r>
        <w:t xml:space="preserve"> </w:t>
      </w:r>
      <w:r>
        <w:t xml:space="preserve">Kodeks cywilny (Art. 353^1) przewiduje zasadę swobody umów, jednakże ta swoboda jest ograniczona m.in. przez ustawę, zasady współżycia społecznego i właściwości stosunku. Postanowienia umowne, które naruszałyby bezwzględnie obowiązujące przepisy ustawy deweloperskiej, mające charakter ochronny dla nabywcy, byłyby nieważne w zakresie, w jakim wyłączałyby tę ochronę.</w:t>
      </w:r>
    </w:p>
    <w:p>
      <w:pPr>
        <w:pStyle w:val="Compact"/>
        <w:numPr>
          <w:ilvl w:val="0"/>
          <w:numId w:val="1002"/>
        </w:numPr>
      </w:pPr>
      <w:r>
        <w:rPr>
          <w:b/>
          <w:bCs/>
        </w:rPr>
        <w:t xml:space="preserve">Przesłanki uznania rachunku za „mieszkaniowy rachunek powierniczy”:</w:t>
      </w:r>
      <w:r>
        <w:t xml:space="preserve"> </w:t>
      </w:r>
      <w:r>
        <w:t xml:space="preserve">Dla uznania rachunku za</w:t>
      </w:r>
      <w:r>
        <w:t xml:space="preserve"> </w:t>
      </w:r>
      <w:r>
        <w:t xml:space="preserve">“mieszkaniowy rachunek powierniczy”</w:t>
      </w:r>
      <w:r>
        <w:t xml:space="preserve"> </w:t>
      </w:r>
      <w:r>
        <w:t xml:space="preserve">w rozumieniu ustawy deweloperskiej, musi on spełniać określone wymogi formalne, takie jak:</w:t>
      </w:r>
    </w:p>
    <w:p>
      <w:pPr>
        <w:pStyle w:val="Compact"/>
        <w:numPr>
          <w:ilvl w:val="1"/>
          <w:numId w:val="1003"/>
        </w:numPr>
      </w:pPr>
      <w:r>
        <w:rPr>
          <w:b/>
          <w:bCs/>
        </w:rPr>
        <w:t xml:space="preserve">Strony umowy rachunku:</w:t>
      </w:r>
      <w:r>
        <w:t xml:space="preserve"> </w:t>
      </w:r>
      <w:r>
        <w:t xml:space="preserve">Rachunek jest prowadzony przez bank dla dewelopera, ale na rzecz nabywców.</w:t>
      </w:r>
    </w:p>
    <w:p>
      <w:pPr>
        <w:pStyle w:val="Compact"/>
        <w:numPr>
          <w:ilvl w:val="1"/>
          <w:numId w:val="1003"/>
        </w:numPr>
      </w:pPr>
      <w:r>
        <w:rPr>
          <w:b/>
          <w:bCs/>
        </w:rPr>
        <w:t xml:space="preserve">Cel rachunku:</w:t>
      </w:r>
      <w:r>
        <w:t xml:space="preserve"> </w:t>
      </w:r>
      <w:r>
        <w:t xml:space="preserve">Gromadzenie wpłat nabywców na poczet ceny zakupu nieruchomości.</w:t>
      </w:r>
    </w:p>
    <w:p>
      <w:pPr>
        <w:pStyle w:val="Compact"/>
        <w:numPr>
          <w:ilvl w:val="1"/>
          <w:numId w:val="1003"/>
        </w:numPr>
      </w:pPr>
      <w:r>
        <w:rPr>
          <w:b/>
          <w:bCs/>
        </w:rPr>
        <w:t xml:space="preserve">Zasady wypłat:</w:t>
      </w:r>
      <w:r>
        <w:t xml:space="preserve"> </w:t>
      </w:r>
      <w:r>
        <w:t xml:space="preserve">Środki wypłacane są deweloperowi dopiero po stwierdzeniu zakończenia określonego etapu budowy.</w:t>
      </w:r>
    </w:p>
    <w:p>
      <w:pPr>
        <w:pStyle w:val="Compact"/>
        <w:numPr>
          <w:ilvl w:val="1"/>
          <w:numId w:val="1003"/>
        </w:numPr>
      </w:pPr>
      <w:r>
        <w:rPr>
          <w:b/>
          <w:bCs/>
        </w:rPr>
        <w:t xml:space="preserve">Ochrona w przypadku upadłości:</w:t>
      </w:r>
      <w:r>
        <w:t xml:space="preserve"> </w:t>
      </w:r>
      <w:r>
        <w:t xml:space="preserve">Środki na rachunku są wyłączone z masy upadłości dewelopera i w przypadku jego upadłości podlegają zwrotowi nabywcom.</w:t>
      </w:r>
      <w:r>
        <w:t xml:space="preserve"> </w:t>
      </w:r>
      <w:r>
        <w:t xml:space="preserve">Z opisu kazusu wynika, że umowa deweloperska posługuje się terminem</w:t>
      </w:r>
      <w:r>
        <w:t xml:space="preserve"> </w:t>
      </w:r>
      <w:r>
        <w:t xml:space="preserve">“mieszkaniowy rachunek powierniczy”</w:t>
      </w:r>
      <w:r>
        <w:t xml:space="preserve"> </w:t>
      </w:r>
      <w:r>
        <w:t xml:space="preserve">i zawiera postanowienia zgodne z jego ideą, choć z kontrowersyjnym zastrzeżeniem praw banku [Źródło 1]. Skuteczność ochrony jest co do zasady wysoka, ale uzależniona od prawidłowego wdrożenia i przestrzegania przepisów przez bank.</w:t>
      </w:r>
    </w:p>
    <w:bookmarkEnd w:id="14"/>
    <w:bookmarkStart w:id="15" w:name="Xed274ad85daa82f74bf19d208a3110269c1681e"/>
    <w:p>
      <w:pPr>
        <w:pStyle w:val="Heading4"/>
      </w:pPr>
      <w:r>
        <w:t xml:space="preserve">Ad. 2. Ocena uprawnień B. S.A.: czy bank mógł legalnie zawiesić wypłaty z rachunku powierniczego w sytuacji opisanej w załączniku nr 2?</w:t>
      </w:r>
    </w:p>
    <w:p>
      <w:pPr>
        <w:pStyle w:val="Compact"/>
        <w:numPr>
          <w:ilvl w:val="0"/>
          <w:numId w:val="1004"/>
        </w:numPr>
      </w:pPr>
      <w:r>
        <w:rPr>
          <w:b/>
          <w:bCs/>
        </w:rPr>
        <w:t xml:space="preserve">Analiza umowy kredytowej bank–deweloper (KRD/████/████) oraz zakresu wpisów hipotecznych/cesji wierzytelności:</w:t>
      </w:r>
      <w:r>
        <w:t xml:space="preserve"> </w:t>
      </w:r>
      <w:r>
        <w:t xml:space="preserve">B. S.A. powołuje się na</w:t>
      </w:r>
      <w:r>
        <w:t xml:space="preserve"> </w:t>
      </w:r>
      <w:r>
        <w:t xml:space="preserve">“zamrożenie”</w:t>
      </w:r>
      <w:r>
        <w:t xml:space="preserve"> </w:t>
      </w:r>
      <w:r>
        <w:t xml:space="preserve">rachunku powierniczego w celu zabezpieczenia własnych wierzytelności wobec dewelopera (hipoteka przymusowa, cesja) [Źródło 1]. Wierzytelność banku wynika z umowy kredytowej KRD/████/████ [Źródło 1].</w:t>
      </w:r>
      <w:r>
        <w:t xml:space="preserve"> </w:t>
      </w:r>
      <w:r>
        <w:rPr>
          <w:b/>
          <w:bCs/>
        </w:rPr>
        <w:t xml:space="preserve">Konflikt prawny:</w:t>
      </w:r>
      <w:r>
        <w:t xml:space="preserve"> </w:t>
      </w:r>
      <w:r>
        <w:t xml:space="preserve">Istota mieszkaniowego rachunku powierniczego polega na tym, że zgromadzone na nim środki</w:t>
      </w:r>
      <w:r>
        <w:t xml:space="preserve"> </w:t>
      </w:r>
      <w:r>
        <w:rPr>
          <w:b/>
          <w:bCs/>
        </w:rPr>
        <w:t xml:space="preserve">nie należą do dewelopera</w:t>
      </w:r>
      <w:r>
        <w:t xml:space="preserve">, lecz są powierzone przez nabywcę. Oznacza to, że bank nie może traktować tych środków jako majątku dewelopera i używać ich do zabezpieczenia własnych wierzytelności wobec dewelopera, ani tym bardziej je</w:t>
      </w:r>
      <w:r>
        <w:t xml:space="preserve"> </w:t>
      </w:r>
      <w:r>
        <w:t xml:space="preserve">“zamrażać”</w:t>
      </w:r>
      <w:r>
        <w:t xml:space="preserve"> </w:t>
      </w:r>
      <w:r>
        <w:t xml:space="preserve">na podstawie roszczeń wobec dewelopera. Takie działanie banku jest sprzeczne z ochronną funkcją rachunku powierniczego i narusza prawa nabywcy. Ewentualne zastrzeżenie w umowie deweloperskiej o</w:t>
      </w:r>
      <w:r>
        <w:t xml:space="preserve"> </w:t>
      </w:r>
      <w:r>
        <w:t xml:space="preserve">“zastrzeżeniu praw banku wynikających z odrębnych umów zabezpieczających”</w:t>
      </w:r>
      <w:r>
        <w:t xml:space="preserve"> </w:t>
      </w:r>
      <w:r>
        <w:t xml:space="preserve">[Źródło 1] nie może niweczyć nadrzędnego charakteru ochrony nabywców przewidzianego w ustawie deweloperskiej.</w:t>
      </w:r>
      <w:r>
        <w:t xml:space="preserve"> </w:t>
      </w:r>
      <w:r>
        <w:t xml:space="preserve">Z punktu widzenia nabywcy, środki na rachunku powierniczym powinny być bezpieczne i podlegać zwrotowi w przypadku niewykonania umowy deweloperskiej. Działanie banku w postaci</w:t>
      </w:r>
      <w:r>
        <w:t xml:space="preserve"> </w:t>
      </w:r>
      <w:r>
        <w:t xml:space="preserve">“zamrożenia”</w:t>
      </w:r>
      <w:r>
        <w:t xml:space="preserve"> </w:t>
      </w:r>
      <w:r>
        <w:t xml:space="preserve">środków jest nielegalne, jeżeli rachunek faktycznie ma charakter mieszkaniowego rachunku powierniczego w rozumieniu ustawy deweloperskiej.</w:t>
      </w:r>
    </w:p>
    <w:bookmarkEnd w:id="15"/>
    <w:bookmarkStart w:id="16" w:name="X56ff519a8ced348d0c6223a92fbdc9f3b6eb574"/>
    <w:p>
      <w:pPr>
        <w:pStyle w:val="Heading4"/>
      </w:pPr>
      <w:r>
        <w:t xml:space="preserve">Ad. 3. Termin przedawnienia i roszczenia o zwrot środków: jakie są terminy przedawnienia roszczenia A. N. o zwrot 62 000,00 zł?</w:t>
      </w:r>
    </w:p>
    <w:p>
      <w:pPr>
        <w:pStyle w:val="Compact"/>
        <w:numPr>
          <w:ilvl w:val="0"/>
          <w:numId w:val="1005"/>
        </w:numPr>
      </w:pPr>
      <w:r>
        <w:rPr>
          <w:b/>
          <w:bCs/>
        </w:rPr>
        <w:t xml:space="preserve">Przepisy Kodeksu cywilnego regulujące przedawnienie roszczeń majątkowych:</w:t>
      </w:r>
      <w:r>
        <w:t xml:space="preserve"> </w:t>
      </w:r>
      <w:r>
        <w:t xml:space="preserve">Roszczenia majątkowe co do zasady ulegają przedawnieniu. Ogólny termin przedawnienia roszczeń majątkowych wynosi sześć lat (Art. 118 Kodeksu cywilnego - choć nie mam tego przepisu w bloku, jest to ogólna zasada). Dla roszczeń związanych z prowadzeniem działalności gospodarczej termin ten wynosi trzy lata (również Art. 118 KC). W przypadku konsumentów, takich jak A. N., zastosowanie ma dłuższy termin ogólny.</w:t>
      </w:r>
      <w:r>
        <w:t xml:space="preserve"> </w:t>
      </w:r>
      <w:r>
        <w:t xml:space="preserve">W niniejszej sprawie roszczenie A. N. o zwrot wpłaconych środków (62 000,00 zł) jest roszczeniem majątkowym wynikającym z umowy deweloperskiej, w której występuje jako konsument. Zatem zastosowanie znajdzie ogólny termin przedawnienia.</w:t>
      </w:r>
    </w:p>
    <w:p>
      <w:pPr>
        <w:pStyle w:val="Compact"/>
        <w:numPr>
          <w:ilvl w:val="0"/>
          <w:numId w:val="1005"/>
        </w:numPr>
      </w:pPr>
      <w:r>
        <w:rPr>
          <w:b/>
          <w:bCs/>
        </w:rPr>
        <w:t xml:space="preserve">Moment rozpoczęcia biegu przedawnienia:</w:t>
      </w:r>
      <w:r>
        <w:t xml:space="preserve"> </w:t>
      </w:r>
      <w:r>
        <w:t xml:space="preserve">Bieg przedawnienia rozpoczyna się od dnia, w którym roszczenie stało się wymagalne (Art. 120 § 1 zd. 1 Kodeksu cywilnego - choć nie mam tego przepisu w bloku, jest to ogólna zasada). W sytuacji opisanej w kazusie, roszczenie o zwrot środków stało się wymagalne najpóźniej w dniu, w którym B. S.A. odmówił zwrotu wpłaconych środków, tj. 5 września 2024 r. [Źródło 1]. Wcześniej, 20 maja 2024 r., B. S.A. poinformował o</w:t>
      </w:r>
      <w:r>
        <w:t xml:space="preserve"> </w:t>
      </w:r>
      <w:r>
        <w:t xml:space="preserve">“zamrożeniu”</w:t>
      </w:r>
      <w:r>
        <w:t xml:space="preserve"> </w:t>
      </w:r>
      <w:r>
        <w:t xml:space="preserve">rachunku, co również mogło być uznane za moment wymagalności.</w:t>
      </w:r>
    </w:p>
    <w:p>
      <w:pPr>
        <w:pStyle w:val="Compact"/>
        <w:numPr>
          <w:ilvl w:val="0"/>
          <w:numId w:val="1005"/>
        </w:numPr>
      </w:pPr>
      <w:r>
        <w:rPr>
          <w:b/>
          <w:bCs/>
        </w:rPr>
        <w:t xml:space="preserve">Ocena ryzyka przedawnienia w horyzoncie dwóch lat od daty wpłaty:</w:t>
      </w:r>
      <w:r>
        <w:t xml:space="preserve"> </w:t>
      </w:r>
      <w:r>
        <w:t xml:space="preserve">Data wpłaty to 15 stycznia 2024 r. [Źródło 1]. Do dnia 30 września 2024 r. (data kalkulacji) upłynęło mniej niż rok. Ogólny termin przedawnienia wynosi kilka lat. Dlatego też, ryzyko przedawnienia roszczenia o zwrot 62 000,00 zł w horyzoncie dwóch lat od daty wpłaty jest</w:t>
      </w:r>
      <w:r>
        <w:t xml:space="preserve"> </w:t>
      </w:r>
      <w:r>
        <w:rPr>
          <w:b/>
          <w:bCs/>
        </w:rPr>
        <w:t xml:space="preserve">znikome</w:t>
      </w:r>
      <w:r>
        <w:t xml:space="preserve">. Roszczenie jest świeże.</w:t>
      </w:r>
    </w:p>
    <w:bookmarkEnd w:id="16"/>
    <w:bookmarkStart w:id="17" w:name="X6fe922b42eed842bcb06e421d4f5fb7142946d8"/>
    <w:p>
      <w:pPr>
        <w:pStyle w:val="Heading4"/>
      </w:pPr>
      <w:r>
        <w:t xml:space="preserve">Ad. 4. Kwestie dowodowe: jakie dokumenty i dowody będą kluczowe w postępowaniu sądowym?</w:t>
      </w:r>
    </w:p>
    <w:p>
      <w:pPr>
        <w:numPr>
          <w:ilvl w:val="0"/>
          <w:numId w:val="1006"/>
        </w:numPr>
      </w:pPr>
      <w:r>
        <w:rPr>
          <w:b/>
          <w:bCs/>
        </w:rPr>
        <w:t xml:space="preserve">Kluczowe dokumenty i dowody:</w:t>
      </w:r>
    </w:p>
    <w:p>
      <w:pPr>
        <w:pStyle w:val="Compact"/>
        <w:numPr>
          <w:ilvl w:val="1"/>
          <w:numId w:val="1007"/>
        </w:numPr>
      </w:pPr>
      <w:r>
        <w:rPr>
          <w:b/>
          <w:bCs/>
        </w:rPr>
        <w:t xml:space="preserve">Oryginał umowy deweloperskiej nr DI/████/███ z dnia 10 stycznia 2024 r.</w:t>
      </w:r>
      <w:r>
        <w:t xml:space="preserve"> </w:t>
      </w:r>
      <w:r>
        <w:t xml:space="preserve">[Źródło 1] – podstawa żądania zwrotu środków.</w:t>
      </w:r>
    </w:p>
    <w:p>
      <w:pPr>
        <w:pStyle w:val="Compact"/>
        <w:numPr>
          <w:ilvl w:val="1"/>
          <w:numId w:val="1007"/>
        </w:numPr>
      </w:pPr>
      <w:r>
        <w:rPr>
          <w:b/>
          <w:bCs/>
        </w:rPr>
        <w:t xml:space="preserve">Potwierdzenie przelewu kwoty 62 000,00 zł z dnia 15 stycznia 2024 r. na rachunek powierniczy.</w:t>
      </w:r>
      <w:r>
        <w:t xml:space="preserve"> </w:t>
      </w:r>
      <w:r>
        <w:t xml:space="preserve">[Źródło 1] – dowód spełnienia świadczenia.</w:t>
      </w:r>
    </w:p>
    <w:p>
      <w:pPr>
        <w:pStyle w:val="Compact"/>
        <w:numPr>
          <w:ilvl w:val="1"/>
          <w:numId w:val="1007"/>
        </w:numPr>
      </w:pPr>
      <w:r>
        <w:rPr>
          <w:b/>
          <w:bCs/>
        </w:rPr>
        <w:t xml:space="preserve">Korespondencja z B. S.A.iem Srebrny S.A.</w:t>
      </w:r>
      <w:r>
        <w:t xml:space="preserve">, w tym:</w:t>
      </w:r>
    </w:p>
    <w:p>
      <w:pPr>
        <w:pStyle w:val="Compact"/>
        <w:numPr>
          <w:ilvl w:val="2"/>
          <w:numId w:val="1008"/>
        </w:numPr>
      </w:pPr>
      <w:r>
        <w:t xml:space="preserve">Pismo B. S.A.u z 20 maja 2024 r. o „zamrożeniu” rachunku [Źródło 1].</w:t>
      </w:r>
    </w:p>
    <w:p>
      <w:pPr>
        <w:pStyle w:val="Compact"/>
        <w:numPr>
          <w:ilvl w:val="2"/>
          <w:numId w:val="1008"/>
        </w:numPr>
      </w:pPr>
      <w:r>
        <w:t xml:space="preserve">Reklamacja A. N. z 15 sierpnia 2024 r. [Źródło 1].</w:t>
      </w:r>
    </w:p>
    <w:p>
      <w:pPr>
        <w:pStyle w:val="Compact"/>
        <w:numPr>
          <w:ilvl w:val="2"/>
          <w:numId w:val="1008"/>
        </w:numPr>
      </w:pPr>
      <w:r>
        <w:t xml:space="preserve">Odmowa zwrotu środków przez B. S.A. z 5 września 2024 r. [Źródło 1].</w:t>
      </w:r>
    </w:p>
    <w:p>
      <w:pPr>
        <w:pStyle w:val="Compact"/>
        <w:numPr>
          <w:ilvl w:val="1"/>
          <w:numId w:val="1007"/>
        </w:numPr>
      </w:pPr>
      <w:r>
        <w:rPr>
          <w:b/>
          <w:bCs/>
        </w:rPr>
        <w:t xml:space="preserve">Korespondencja z D. sp. z o.o.em D. sp. z o.o.</w:t>
      </w:r>
      <w:r>
        <w:t xml:space="preserve">, w tym:</w:t>
      </w:r>
    </w:p>
    <w:p>
      <w:pPr>
        <w:pStyle w:val="Compact"/>
        <w:numPr>
          <w:ilvl w:val="2"/>
          <w:numId w:val="1009"/>
        </w:numPr>
      </w:pPr>
      <w:r>
        <w:t xml:space="preserve">Informacja dewelopera z 1 lipca 2024 r. o „restrukturyzacji” i wezwaniu wierzycieli [Źródło 1].</w:t>
      </w:r>
    </w:p>
    <w:p>
      <w:pPr>
        <w:pStyle w:val="Compact"/>
        <w:numPr>
          <w:ilvl w:val="2"/>
          <w:numId w:val="1009"/>
        </w:numPr>
      </w:pPr>
      <w:r>
        <w:t xml:space="preserve">Pisma dewelopera dotyczące żądania dodatkowej wpłaty (31 000,00 zł) [Źródło 1].</w:t>
      </w:r>
    </w:p>
    <w:p>
      <w:pPr>
        <w:pStyle w:val="Compact"/>
        <w:numPr>
          <w:ilvl w:val="1"/>
          <w:numId w:val="1007"/>
        </w:numPr>
      </w:pPr>
      <w:r>
        <w:rPr>
          <w:b/>
          <w:bCs/>
        </w:rPr>
        <w:t xml:space="preserve">Umowa kredytowa KRD/████/████ między B. S.A.iem a D. sp. z o.o.em oraz dokumenty dotyczące zabezpieczeń</w:t>
      </w:r>
      <w:r>
        <w:t xml:space="preserve"> </w:t>
      </w:r>
      <w:r>
        <w:t xml:space="preserve">(hipoteka przymusowa, cesja) – o ile zostaną ujawnione w toku postępowania lub uzyskane w trybie Art. 256 Kodeksu postępowania cywilnego (obowiązek przedstawienia dokumentu) lub Art. 232 KPC w zw. z Art. 6 K.C. [Kodeks cywilny Art. 72, Kodeks postępowania cywilnego Art. 127, Kodeks postępowania cywilnego Art. 187, Kodeks postępowania cywilnego Art. 205^9, Kodeks postępowania cywilnego Art. 205^3, Kodeks postępowania cywilnego Art. 493, Kodeks postępowania cywilnego Art. 458^9].</w:t>
      </w:r>
    </w:p>
    <w:p>
      <w:pPr>
        <w:pStyle w:val="Compact"/>
        <w:numPr>
          <w:ilvl w:val="1"/>
          <w:numId w:val="1007"/>
        </w:numPr>
      </w:pPr>
      <w:r>
        <w:rPr>
          <w:b/>
          <w:bCs/>
        </w:rPr>
        <w:t xml:space="preserve">Wpisy hipoteki w księdze wieczystej nieruchomości</w:t>
      </w:r>
      <w:r>
        <w:t xml:space="preserve"> </w:t>
      </w:r>
      <w:r>
        <w:t xml:space="preserve">(jeżeli dotyczy konkretnego lokalu A. N., co jest mało prawdopodobne, jeśli inwestycja nie jest zakończona, ale może dotyczyć ogółu nieruchomości dewelopera).</w:t>
      </w:r>
    </w:p>
    <w:p>
      <w:pPr>
        <w:pStyle w:val="Compact"/>
        <w:numPr>
          <w:ilvl w:val="1"/>
          <w:numId w:val="1007"/>
        </w:numPr>
      </w:pPr>
      <w:r>
        <w:rPr>
          <w:b/>
          <w:bCs/>
        </w:rPr>
        <w:t xml:space="preserve">Zeznania świadków</w:t>
      </w:r>
      <w:r>
        <w:t xml:space="preserve"> </w:t>
      </w:r>
      <w:r>
        <w:t xml:space="preserve">(np. pracowników B. S.A.u, przedstawicieli dewelopera) – na okoliczność sposobu prowadzenia rachunku powierniczego, informowania o ryzykach i zabezpieczeniach.</w:t>
      </w:r>
    </w:p>
    <w:p>
      <w:pPr>
        <w:numPr>
          <w:ilvl w:val="0"/>
          <w:numId w:val="1006"/>
        </w:numPr>
      </w:pPr>
      <w:r>
        <w:rPr>
          <w:b/>
          <w:bCs/>
        </w:rPr>
        <w:t xml:space="preserve">Ocena wagi i formy dowodowej oświadczeń banku o „zabezpieczeniu wierzytelności”:</w:t>
      </w:r>
      <w:r>
        <w:t xml:space="preserve"> </w:t>
      </w:r>
      <w:r>
        <w:t xml:space="preserve">Oświadczenia banku o „zabezpieczeniu wierzytelności” są dowodem na stanowisko banku, ale nie przesądzają o legalności jego działań. Aby wykazać zasadność swoich działań, bank będzie musiał przedstawić umowę kredytową (KRD/████/████) oraz dokumenty ustanawiające zabezpieczenia (np. akt notarialny hipoteki, umowę cesji wierzytelności) [Źródło 1]. Te dokumenty będą miały formę dowodów z dokumentów, o których mowa w Art. 244 Kodeksu postępowania cywilnego (dokumenty urzędowe) lub Art. 245 KPC (dokumenty prywatne). Sąd będzie musiał ocenić ich treść w kontekście przepisów o mieszkaniowych rachunkach powierniczych. Wyciągi z ksiąg bankowych mogą być użyteczne, ale ich moc dowodowa bywa kwestionowana, zwłaszcza w sporach z konsumentami [2, 12, 13].</w:t>
      </w:r>
      <w:r>
        <w:t xml:space="preserve"> </w:t>
      </w:r>
      <w:r>
        <w:t xml:space="preserve">Orzecznictwo wskazuje, że na powodzie spoczywa ciężar udowodnienia faktów, z których wywodzi skutki prawne (Art. 6 Kodeksu cywilnego, Art. 232 Kodeksu postępowania cywilnego) [12, 13, 15]. W przypadku cesji wierzytelności, nabywca musi udowodnić, że wierzytelność przysługiwała pierwotnemu wierzycielowi [12, 13].</w:t>
      </w:r>
    </w:p>
    <w:p>
      <w:pPr>
        <w:numPr>
          <w:ilvl w:val="0"/>
          <w:numId w:val="1006"/>
        </w:numPr>
      </w:pPr>
      <w:r>
        <w:rPr>
          <w:b/>
          <w:bCs/>
        </w:rPr>
        <w:t xml:space="preserve">Możliwości uzyskania dowodów drogą wniosku o udostępnienie dokumentów przedprocesowo:</w:t>
      </w:r>
      <w:r>
        <w:t xml:space="preserve"> </w:t>
      </w:r>
      <w:r>
        <w:t xml:space="preserve">Możliwe jest złożenie wniosku do sądu o zabezpieczenie dowodu przed wszczęciem postępowania (Art. 310-330 Kodeksu postępowania cywilnego). A. N. może również spróbować uzyskać dokumenty (np. umowę kredytową dewelopera z bankiem) na podstawie Art. 256 KPC w toku postępowania sądowego, składając wniosek o polecenie przedstawienia dokumentu będącego w posiadaniu strony przeciwnej lub osoby trzeciej. Wcześniejsze wezwanie do udostępnienia dokumentów na podstawie Art. 187 § 2 pkt 3 i 4 KPC w pozwie jest wskazane [Kodeks postępowania cywilnego Art. 187].</w:t>
      </w:r>
    </w:p>
    <w:bookmarkEnd w:id="17"/>
    <w:bookmarkStart w:id="18" w:name="X0dfceeecedcb2db640f6282e79580d5928a9dd9"/>
    <w:p>
      <w:pPr>
        <w:pStyle w:val="Heading4"/>
      </w:pPr>
      <w:r>
        <w:t xml:space="preserve">Ad. 5. Wyliczenie kwotowe roszczenia i koszty na dzień 30.09.2024 r.</w:t>
      </w:r>
    </w:p>
    <w:p>
      <w:pPr>
        <w:pStyle w:val="FirstParagraph"/>
      </w:pPr>
      <w:r>
        <w:rPr>
          <w:b/>
          <w:bCs/>
        </w:rPr>
        <w:t xml:space="preserve">A. Roszczenie główne:</w:t>
      </w:r>
      <w:r>
        <w:t xml:space="preserve"> </w:t>
      </w:r>
      <w:r>
        <w:t xml:space="preserve">Zwrot wpłaconej kwoty: 62 000,00 zł [Źródło 1].</w:t>
      </w:r>
    </w:p>
    <w:p>
      <w:pPr>
        <w:pStyle w:val="BodyText"/>
      </w:pPr>
      <w:r>
        <w:rPr>
          <w:b/>
          <w:bCs/>
        </w:rPr>
        <w:t xml:space="preserve">B. Odsetki ustawowe za opóźnienie:</w:t>
      </w:r>
      <w:r>
        <w:t xml:space="preserve"> </w:t>
      </w:r>
      <w:r>
        <w:t xml:space="preserve">* Podstawa prawna: Art. 481 § 1 i 2 Kodeksu cywilnego.</w:t>
      </w:r>
      <w:r>
        <w:t xml:space="preserve"> </w:t>
      </w:r>
      <w:r>
        <w:t xml:space="preserve">* Art. 481. § 1. Jeżeli dłużnik opóźnia się ze spełnieniem świadczenia pieniężnego, wierzyciel może żądać odsetek za czas opóźnienia, chociażby nie poniósł żadnej szkody i chociażby opóźnienie było następstwem okoliczności, za które dłużnik odpowiedzialności nie ponosi.</w:t>
      </w:r>
      <w:r>
        <w:t xml:space="preserve"> </w:t>
      </w:r>
      <w:r>
        <w:t xml:space="preserve">* § 2. Jeżeli stopa odsetek za opóźnienie nie była oznaczona, należą się odsetki ustawowe za opóźnienie w wysokości równej sumie stopy referencyjnej Narodowego B. S.A.u Polskiego i 5,5 punktów procentowych. Jednakże maksymalna wysokość odsetek za opóźnienie nie może w stosunku rocznym przekraczać dwukrotności wysokości odsetek ustawowych za opóźnienie.</w:t>
      </w:r>
      <w:r>
        <w:t xml:space="preserve"> </w:t>
      </w:r>
      <w:r>
        <w:t xml:space="preserve">* Moment rozpoczęcia biegu odsetek: Od dnia wymagalności roszczenia, tj. od 6 września 2024 r. (dzień po odmowie B. S.A.u, czyli od 15 sierpnia 2024 r. do 5 września 2024 r. B. S.A. miał czas na rozpatrzenie reklamacji, więc wymagalność nastąpiła po bezskutecznym upływie terminu na spełnienie żądania, lub od 20 maja 2024 r. - data zamrożenia, lub od dnia wpłaty, tj. 15 stycznia 2024 r., jako roszczenie o świadczenie nienależne). Biorąc pod uwagę datę reklamacji (15 sierpnia 2024 r.) i odmowy (5 września 2024 r.), najbardziej bezpieczne jest naliczanie odsetek od 6 września 2024 r. (dzień po odmowie B. S.A.u). Alternatywnie można żądać odsetek od dnia wcześniejszego, tj. od 21 maja 2024 r. (dzień po</w:t>
      </w:r>
      <w:r>
        <w:t xml:space="preserve"> </w:t>
      </w:r>
      <w:r>
        <w:t xml:space="preserve">“zamrożeniu”</w:t>
      </w:r>
      <w:r>
        <w:t xml:space="preserve">) lub od 15 stycznia 2024 r. (dzień wpłaty). Dla maksymalizacji roszczeń i prostoty przyjmijmy roszczenie od 15 stycznia 2024 r.</w:t>
      </w:r>
    </w:p>
    <w:p>
      <w:pPr>
        <w:pStyle w:val="BodyText"/>
      </w:pPr>
      <w:r>
        <w:rPr>
          <w:b/>
          <w:bCs/>
        </w:rPr>
        <w:t xml:space="preserve">Metodologia obliczeń odsetek (na dzień 30.09.2024 r.):</w:t>
      </w:r>
      <w:r>
        <w:t xml:space="preserve"> </w:t>
      </w:r>
      <w:r>
        <w:t xml:space="preserve">* Kwota roszczenia: 62 000,00 zł.</w:t>
      </w:r>
      <w:r>
        <w:t xml:space="preserve"> </w:t>
      </w:r>
      <w:r>
        <w:t xml:space="preserve">* Okres naliczania odsetek: od 15 stycznia 2024 r. do 30 września 2024 r.</w:t>
      </w:r>
      <w:r>
        <w:t xml:space="preserve"> </w:t>
      </w:r>
      <w:r>
        <w:t xml:space="preserve">* Styczeń: 17 dni (od 15.01)</w:t>
      </w:r>
      <w:r>
        <w:t xml:space="preserve"> </w:t>
      </w:r>
      <w:r>
        <w:t xml:space="preserve">* Luty: 29 dni</w:t>
      </w:r>
      <w:r>
        <w:t xml:space="preserve"> </w:t>
      </w:r>
      <w:r>
        <w:t xml:space="preserve">* Marzec: 31 dni</w:t>
      </w:r>
      <w:r>
        <w:t xml:space="preserve"> </w:t>
      </w:r>
      <w:r>
        <w:t xml:space="preserve">* Kwiecień: 30 dni</w:t>
      </w:r>
      <w:r>
        <w:t xml:space="preserve"> </w:t>
      </w:r>
      <w:r>
        <w:t xml:space="preserve">* Maj: 31 dni</w:t>
      </w:r>
      <w:r>
        <w:t xml:space="preserve"> </w:t>
      </w:r>
      <w:r>
        <w:t xml:space="preserve">* Czerwiec: 30 dni</w:t>
      </w:r>
      <w:r>
        <w:t xml:space="preserve"> </w:t>
      </w:r>
      <w:r>
        <w:t xml:space="preserve">* Lipiec: 31 dni</w:t>
      </w:r>
      <w:r>
        <w:t xml:space="preserve"> </w:t>
      </w:r>
      <w:r>
        <w:t xml:space="preserve">* Sierpień: 31 dni</w:t>
      </w:r>
      <w:r>
        <w:t xml:space="preserve"> </w:t>
      </w:r>
      <w:r>
        <w:t xml:space="preserve">* Wrzesień: 30 dni</w:t>
      </w:r>
      <w:r>
        <w:t xml:space="preserve"> </w:t>
      </w:r>
      <w:r>
        <w:t xml:space="preserve">* Łącznie: 260 dni.</w:t>
      </w:r>
      <w:r>
        <w:t xml:space="preserve"> </w:t>
      </w:r>
      <w:r>
        <w:t xml:space="preserve">* Aktualna wysokość odsetek ustawowych za opóźnienie: (stopa referencyjna NBP + 5,5 p.p.). Przyjmując hipotetycznie stopę referencyjną NBP na poziomie np. 5,75% (stan z drugiej połowy 2023 r.), odsetki ustawowe za opóźnienie wynoszą 5,75% + 5,5% = 11,25% w skali roku.</w:t>
      </w:r>
    </w:p>
    <w:p>
      <w:pPr>
        <w:pStyle w:val="BodyText"/>
      </w:pPr>
      <w:r>
        <w:rPr>
          <w:b/>
          <w:bCs/>
        </w:rPr>
        <w:t xml:space="preserve">Obliczenie odsetek:</w:t>
      </w:r>
      <w:r>
        <w:t xml:space="preserve"> </w:t>
      </w:r>
      <w:r>
        <w:t xml:space="preserve">(62 000,00 zł * 11,25% * 260 dni) / 365 dni = 4 946,58 zł.</w:t>
      </w:r>
      <w:r>
        <w:t xml:space="preserve"> </w:t>
      </w:r>
      <w:r>
        <w:t xml:space="preserve">*</w:t>
      </w:r>
      <w:r>
        <w:t xml:space="preserve"> </w:t>
      </w:r>
      <w:r>
        <w:rPr>
          <w:b/>
          <w:bCs/>
        </w:rPr>
        <w:t xml:space="preserve">Łączne roszczenie (kapitał + odsetki):</w:t>
      </w:r>
      <w:r>
        <w:t xml:space="preserve"> </w:t>
      </w:r>
      <w:r>
        <w:t xml:space="preserve">62 000,00 zł + 4 946,58 zł = 66 946,58 zł.</w:t>
      </w:r>
    </w:p>
    <w:p>
      <w:pPr>
        <w:pStyle w:val="BodyText"/>
      </w:pPr>
      <w:r>
        <w:rPr>
          <w:b/>
          <w:bCs/>
        </w:rPr>
        <w:t xml:space="preserve">C. Koszty procesu:</w:t>
      </w:r>
      <w:r>
        <w:t xml:space="preserve"> </w:t>
      </w:r>
      <w:r>
        <w:t xml:space="preserve">*</w:t>
      </w:r>
      <w:r>
        <w:t xml:space="preserve"> </w:t>
      </w:r>
      <w:r>
        <w:rPr>
          <w:b/>
          <w:bCs/>
        </w:rPr>
        <w:t xml:space="preserve">Opłata sądowa od pozwu:</w:t>
      </w:r>
      <w:r>
        <w:t xml:space="preserve"> </w:t>
      </w:r>
      <w:r>
        <w:t xml:space="preserve">5% wartości przedmiotu sporu (roszczenie główne).</w:t>
      </w:r>
      <w:r>
        <w:t xml:space="preserve"> </w:t>
      </w:r>
      <w:r>
        <w:t xml:space="preserve">5% * 62 000,00 zł = 3 100,00 zł.</w:t>
      </w:r>
      <w:r>
        <w:t xml:space="preserve"> </w:t>
      </w:r>
      <w:r>
        <w:t xml:space="preserve">*</w:t>
      </w:r>
      <w:r>
        <w:t xml:space="preserve"> </w:t>
      </w:r>
      <w:r>
        <w:rPr>
          <w:b/>
          <w:bCs/>
        </w:rPr>
        <w:t xml:space="preserve">Koszty zastępstwa procesowego:</w:t>
      </w:r>
      <w:r>
        <w:t xml:space="preserve"> </w:t>
      </w:r>
      <w:r>
        <w:t xml:space="preserve">Zgodnie z rozporządzeniem Ministra Sprawiedliwości w sprawie opłat za czynności adwokackie/radców prawnych, w zależności od wartości przedmiotu sporu. Dla wartości od 50 000 zł do 200 000 zł, stawka minimalna wynosi 5 400 zł.</w:t>
      </w:r>
      <w:r>
        <w:t xml:space="preserve"> </w:t>
      </w:r>
      <w:r>
        <w:t xml:space="preserve">*</w:t>
      </w:r>
      <w:r>
        <w:t xml:space="preserve"> </w:t>
      </w:r>
      <w:r>
        <w:rPr>
          <w:b/>
          <w:bCs/>
        </w:rPr>
        <w:t xml:space="preserve">Łączne koszty procesu (szacunkowe):</w:t>
      </w:r>
      <w:r>
        <w:t xml:space="preserve"> </w:t>
      </w:r>
      <w:r>
        <w:t xml:space="preserve">3 100,00 zł (opłata sądowa) + 5 400,00 zł (koszty zastępstwa) = 8 500,00 zł.</w:t>
      </w:r>
    </w:p>
    <w:p>
      <w:pPr>
        <w:pStyle w:val="BodyText"/>
      </w:pPr>
      <w:r>
        <w:rPr>
          <w:b/>
          <w:bCs/>
        </w:rPr>
        <w:t xml:space="preserve">D. Całkowita kwota żądania w pozwie (roszczenie + odsetki + koszty):</w:t>
      </w:r>
      <w:r>
        <w:t xml:space="preserve"> </w:t>
      </w:r>
      <w:r>
        <w:t xml:space="preserve">66 946,58 zł (roszczenie z odsetkami) + 8 500,00 zł (szacunkowe koszty procesu) =</w:t>
      </w:r>
      <w:r>
        <w:t xml:space="preserve"> </w:t>
      </w:r>
      <w:r>
        <w:rPr>
          <w:b/>
          <w:bCs/>
        </w:rPr>
        <w:t xml:space="preserve">75 446,58 zł</w:t>
      </w:r>
      <w:r>
        <w:t xml:space="preserve">.</w:t>
      </w:r>
    </w:p>
    <w:bookmarkEnd w:id="18"/>
    <w:bookmarkStart w:id="19" w:name="Xb90a213357501be2d21f6273bf8de5a28183d67"/>
    <w:p>
      <w:pPr>
        <w:pStyle w:val="Heading4"/>
      </w:pPr>
      <w:r>
        <w:t xml:space="preserve">Ad. 6. Ryzyka procesowe i strategiczne: zidentyfikuj główne ryzyka procesowe i pozaprocesowe.</w:t>
      </w:r>
    </w:p>
    <w:p>
      <w:pPr>
        <w:numPr>
          <w:ilvl w:val="0"/>
          <w:numId w:val="1010"/>
        </w:numPr>
      </w:pPr>
      <w:r>
        <w:rPr>
          <w:b/>
          <w:bCs/>
        </w:rPr>
        <w:t xml:space="preserve">Główne ryzyka procesowe i pozaprocesowe:</w:t>
      </w:r>
    </w:p>
    <w:p>
      <w:pPr>
        <w:pStyle w:val="Compact"/>
        <w:numPr>
          <w:ilvl w:val="1"/>
          <w:numId w:val="1011"/>
        </w:numPr>
      </w:pPr>
      <w:r>
        <w:rPr>
          <w:b/>
          <w:bCs/>
        </w:rPr>
        <w:t xml:space="preserve">Ryzyko ogłoszenia upadłości dewelopera:</w:t>
      </w:r>
      <w:r>
        <w:t xml:space="preserve"> </w:t>
      </w:r>
      <w:r>
        <w:t xml:space="preserve">D. sp. z o.o. ogłosił „restrukturyzację” i wezwanie wierzycieli [Źródło 1], co może prowadzić do upadłości. W przypadku upadłości, choć środki na rachunku powierniczym są teoretycznie wyłączone z masy upadłości, faktyczne odzyskanie pieniędzy może być opóźnione lub skomplikowane ze względu na długotrwałość postępowania upadłościowego i ewentualne spory z syndykiem.</w:t>
      </w:r>
    </w:p>
    <w:p>
      <w:pPr>
        <w:pStyle w:val="Compact"/>
        <w:numPr>
          <w:ilvl w:val="1"/>
          <w:numId w:val="1011"/>
        </w:numPr>
      </w:pPr>
      <w:r>
        <w:rPr>
          <w:b/>
          <w:bCs/>
        </w:rPr>
        <w:t xml:space="preserve">Roszczenia innych nabywców:</w:t>
      </w:r>
      <w:r>
        <w:t xml:space="preserve"> </w:t>
      </w:r>
      <w:r>
        <w:t xml:space="preserve">Prawdopodobnie inni nabywcy również wpłacali środki na ten sam rachunek powierniczy. Ich roszczenia mogą konkurować z roszczeniem A. N., choć ustawa deweloperska powinna zapewniać im wszystkim taką samą ochronę.</w:t>
      </w:r>
    </w:p>
    <w:p>
      <w:pPr>
        <w:pStyle w:val="Compact"/>
        <w:numPr>
          <w:ilvl w:val="1"/>
          <w:numId w:val="1011"/>
        </w:numPr>
      </w:pPr>
      <w:r>
        <w:rPr>
          <w:b/>
          <w:bCs/>
        </w:rPr>
        <w:t xml:space="preserve">Działanie komornicze/hipoteczne banku:</w:t>
      </w:r>
      <w:r>
        <w:t xml:space="preserve"> </w:t>
      </w:r>
      <w:r>
        <w:t xml:space="preserve">B. S.A. już podjął działania,</w:t>
      </w:r>
      <w:r>
        <w:t xml:space="preserve"> </w:t>
      </w:r>
      <w:r>
        <w:t xml:space="preserve">“zamrażając”</w:t>
      </w:r>
      <w:r>
        <w:t xml:space="preserve"> </w:t>
      </w:r>
      <w:r>
        <w:t xml:space="preserve">rachunek i powołując się na zabezpieczenia [Źródło 1]. Istnieje ryzyko, że bank będzie próbował utrzymać swoje roszczenia, co może wymagać od A. N. udowodnienia nadrzędności jej praw.</w:t>
      </w:r>
    </w:p>
    <w:p>
      <w:pPr>
        <w:pStyle w:val="Compact"/>
        <w:numPr>
          <w:ilvl w:val="1"/>
          <w:numId w:val="1011"/>
        </w:numPr>
      </w:pPr>
      <w:r>
        <w:rPr>
          <w:b/>
          <w:bCs/>
        </w:rPr>
        <w:t xml:space="preserve">Brak pełnej dokumentacji:</w:t>
      </w:r>
      <w:r>
        <w:t xml:space="preserve"> </w:t>
      </w:r>
      <w:r>
        <w:t xml:space="preserve">Brak dostępu do pełnej umowy kredytowej bank-deweloper i dokumentów zabezpieczeń może utrudnić wykazanie nieprawidłowości działań banku.</w:t>
      </w:r>
    </w:p>
    <w:p>
      <w:pPr>
        <w:pStyle w:val="Compact"/>
        <w:numPr>
          <w:ilvl w:val="1"/>
          <w:numId w:val="1011"/>
        </w:numPr>
      </w:pPr>
      <w:r>
        <w:rPr>
          <w:b/>
          <w:bCs/>
        </w:rPr>
        <w:t xml:space="preserve">Długotrwałość postępowania sądowego:</w:t>
      </w:r>
      <w:r>
        <w:t xml:space="preserve"> </w:t>
      </w:r>
      <w:r>
        <w:t xml:space="preserve">Spory z bankami i deweloperami, zwłaszcza w obliczu restrukturyzacji lub upadłości, bywają długotrwałe.</w:t>
      </w:r>
    </w:p>
    <w:p>
      <w:pPr>
        <w:pStyle w:val="Compact"/>
        <w:numPr>
          <w:ilvl w:val="1"/>
          <w:numId w:val="1011"/>
        </w:numPr>
      </w:pPr>
      <w:r>
        <w:rPr>
          <w:b/>
          <w:bCs/>
        </w:rPr>
        <w:t xml:space="preserve">Koszty postępowania:</w:t>
      </w:r>
      <w:r>
        <w:t xml:space="preserve"> </w:t>
      </w:r>
      <w:r>
        <w:t xml:space="preserve">Mimo możliwości zasądzenia kosztów od strony przegrywającej, A. N. musi je ponieść początkowo (opłata od pozwu, zaliczki na biegłych itp.).</w:t>
      </w:r>
    </w:p>
    <w:p>
      <w:pPr>
        <w:numPr>
          <w:ilvl w:val="0"/>
          <w:numId w:val="1010"/>
        </w:numPr>
      </w:pPr>
      <w:r>
        <w:rPr>
          <w:b/>
          <w:bCs/>
        </w:rPr>
        <w:t xml:space="preserve">Rekomendowana strategia:</w:t>
      </w:r>
    </w:p>
    <w:p>
      <w:pPr>
        <w:pStyle w:val="Compact"/>
        <w:numPr>
          <w:ilvl w:val="1"/>
          <w:numId w:val="1012"/>
        </w:numPr>
      </w:pPr>
      <w:r>
        <w:rPr>
          <w:b/>
          <w:bCs/>
        </w:rPr>
        <w:t xml:space="preserve">Droga sądowa (pozew o zapłatę + wniosek o zabezpieczenie):</w:t>
      </w:r>
    </w:p>
    <w:p>
      <w:pPr>
        <w:pStyle w:val="Compact"/>
        <w:numPr>
          <w:ilvl w:val="2"/>
          <w:numId w:val="1013"/>
        </w:numPr>
      </w:pPr>
      <w:r>
        <w:rPr>
          <w:b/>
          <w:bCs/>
        </w:rPr>
        <w:t xml:space="preserve">Przesłanki wniesienia wniosku o zabezpieczenie roszczenia (Art. 730 i 730^1 Kodeksu postępowania cywilnego):</w:t>
      </w:r>
    </w:p>
    <w:p>
      <w:pPr>
        <w:pStyle w:val="Compact"/>
        <w:numPr>
          <w:ilvl w:val="3"/>
          <w:numId w:val="1014"/>
        </w:numPr>
      </w:pPr>
      <w:r>
        <w:rPr>
          <w:b/>
          <w:bCs/>
        </w:rPr>
        <w:t xml:space="preserve">Uprawdopodobnienie roszczenia:</w:t>
      </w:r>
      <w:r>
        <w:t xml:space="preserve"> </w:t>
      </w:r>
      <w:r>
        <w:t xml:space="preserve">A. N. musi uprawdopodobnić istnienie swojego roszczenia (zwrot 62 000,00 zł) poprzez przedstawienie umowy deweloperskiej, potwierdzenia wpłaty i korespondencji z bankiem i deweloperem. Argument, że środki na rachunku powierniczym są wyłączone z masy dewelopera i nie mogą służyć zabezpieczeniu długów dewelopera, jest bardzo mocny.</w:t>
      </w:r>
    </w:p>
    <w:p>
      <w:pPr>
        <w:pStyle w:val="Compact"/>
        <w:numPr>
          <w:ilvl w:val="3"/>
          <w:numId w:val="1014"/>
        </w:numPr>
      </w:pPr>
      <w:r>
        <w:rPr>
          <w:b/>
          <w:bCs/>
        </w:rPr>
        <w:t xml:space="preserve">Uprawdopodobnienie interesu prawnego w udzieleniu zabezpieczenia:</w:t>
      </w:r>
      <w:r>
        <w:t xml:space="preserve"> </w:t>
      </w:r>
      <w:r>
        <w:t xml:space="preserve">Interes prawny istnieje, gdy brak zabezpieczenia uniemożliwi lub poważnie utrudni wykonanie zapadłego w sprawie orzeczenia lub w inny sposób uniemożliwi lub poważnie utrudni osiągnięcie celu postępowania w sprawie (Art. 730^1 § 1 KPC). W niniejszej sprawie interes prawny jest oczywisty – deweloper jest w restrukturyzacji, a bank „zamroził” środki [Źródło 1], co grozi utratą pieniędzy.</w:t>
      </w:r>
    </w:p>
    <w:p>
      <w:pPr>
        <w:pStyle w:val="Compact"/>
        <w:numPr>
          <w:ilvl w:val="2"/>
          <w:numId w:val="1013"/>
        </w:numPr>
      </w:pPr>
      <w:r>
        <w:rPr>
          <w:b/>
          <w:bCs/>
        </w:rPr>
        <w:t xml:space="preserve">Sposób zabezpieczenia:</w:t>
      </w:r>
      <w:r>
        <w:t xml:space="preserve"> </w:t>
      </w:r>
      <w:r>
        <w:t xml:space="preserve">Najbardziej adekwatnym sposobem zabezpieczenia byłoby zajęcie wierzytelności z rachunku powierniczego lub ustanowienie zakazu dokonywania wypłat z rachunku bez zgody sądu lub do czasu rozstrzygnięcia sprawy.</w:t>
      </w:r>
    </w:p>
    <w:p>
      <w:pPr>
        <w:pStyle w:val="Compact"/>
        <w:numPr>
          <w:ilvl w:val="2"/>
          <w:numId w:val="1013"/>
        </w:numPr>
      </w:pPr>
      <w:r>
        <w:rPr>
          <w:b/>
          <w:bCs/>
        </w:rPr>
        <w:t xml:space="preserve">Koszty wniosku o zabezpieczenie:</w:t>
      </w:r>
      <w:r>
        <w:t xml:space="preserve"> </w:t>
      </w:r>
      <w:r>
        <w:t xml:space="preserve">Opłata sądowa od wniosku o zabezpieczenie wynosi 1/4 opłaty od pozwu, czyli 1/4 * 3 100,00 zł = 775,00 zł.</w:t>
      </w:r>
    </w:p>
    <w:p>
      <w:pPr>
        <w:pStyle w:val="Compact"/>
        <w:numPr>
          <w:ilvl w:val="2"/>
          <w:numId w:val="1013"/>
        </w:numPr>
      </w:pPr>
      <w:r>
        <w:rPr>
          <w:b/>
          <w:bCs/>
        </w:rPr>
        <w:t xml:space="preserve">Ryzyko odmowy zabezpieczenia:</w:t>
      </w:r>
      <w:r>
        <w:t xml:space="preserve"> </w:t>
      </w:r>
      <w:r>
        <w:t xml:space="preserve">Sąd może odmówić zabezpieczenia, jeśli uzna, że roszczenie lub interes prawny nie zostały dostatecznie uprawdopodobnione. Jednak w tej sprawie, w świetle problemów dewelopera i działań banku, uprawdopodobnienie roszczenia i interesu prawnego powinno być stosunkowo łatwe.</w:t>
      </w:r>
    </w:p>
    <w:p>
      <w:pPr>
        <w:pStyle w:val="Compact"/>
        <w:numPr>
          <w:ilvl w:val="1"/>
          <w:numId w:val="1012"/>
        </w:numPr>
      </w:pPr>
      <w:r>
        <w:rPr>
          <w:b/>
          <w:bCs/>
        </w:rPr>
        <w:t xml:space="preserve">Skarga do organów nadzoru bankowego / UOKiK:</w:t>
      </w:r>
    </w:p>
    <w:p>
      <w:pPr>
        <w:pStyle w:val="Compact"/>
        <w:numPr>
          <w:ilvl w:val="2"/>
          <w:numId w:val="1015"/>
        </w:numPr>
      </w:pPr>
      <w:r>
        <w:t xml:space="preserve">W przypadku naruszenia przepisów Prawa bankowego lub ustawy deweloperskiej przez B. S.A., można rozważyć złożenie skargi do Komisji Nadzoru Finansowego (KNF) jako organu nadzoru bankowego. KNF może przeprowadzić kontrolę i podjąć odpowiednie działania nadzorcze.</w:t>
      </w:r>
    </w:p>
    <w:p>
      <w:pPr>
        <w:pStyle w:val="Compact"/>
        <w:numPr>
          <w:ilvl w:val="2"/>
          <w:numId w:val="1015"/>
        </w:numPr>
      </w:pPr>
      <w:r>
        <w:t xml:space="preserve">Jeżeli działania banku lub dewelopera mają charakter praktyk naruszających zbiorowe interesy konsumentów (np. jeśli dotyczy to wielu nabywców), zasadne może być złożenie zawiadomienia do Urzędu Ochrony Konkurencji i Konsumentów (UOKiK). UOKiK może wszcząć postępowanie administracyjne i nałożyć kary, a także uznać konkretne postanowienia umowne za niedozwolone klauzule umowne.</w:t>
      </w:r>
    </w:p>
    <w:p>
      <w:pPr>
        <w:pStyle w:val="Compact"/>
        <w:numPr>
          <w:ilvl w:val="1"/>
          <w:numId w:val="1012"/>
        </w:numPr>
      </w:pPr>
      <w:r>
        <w:rPr>
          <w:b/>
          <w:bCs/>
        </w:rPr>
        <w:t xml:space="preserve">Negocjacje i mediacje:</w:t>
      </w:r>
    </w:p>
    <w:p>
      <w:pPr>
        <w:pStyle w:val="Compact"/>
        <w:numPr>
          <w:ilvl w:val="2"/>
          <w:numId w:val="1016"/>
        </w:numPr>
      </w:pPr>
      <w:r>
        <w:t xml:space="preserve">Pomimo dotychczasowych niepowodzeń, warto rozważyć ponowne próby negocjacji z B. S.A.iem i D. sp. z o.o.em, być może z udziałem mediatora. Mediacja może przyspieszyć rozwiązanie sporu i zmniejszyć koszty, jeśli strony dojdą do porozumienia. Można wykorzystać groźbę złożenia pozwu i skarg do organów nadzoru jako argument w negocjacjach.</w:t>
      </w:r>
    </w:p>
    <w:bookmarkEnd w:id="19"/>
    <w:bookmarkEnd w:id="20"/>
    <w:bookmarkEnd w:id="21"/>
    <w:bookmarkStart w:id="22" w:name="rejestr-ryzyk-i-szans"/>
    <w:p>
      <w:pPr>
        <w:pStyle w:val="Heading2"/>
      </w:pPr>
      <w:r>
        <w:t xml:space="preserve">Rejestr ryzyk i szans</w:t>
      </w:r>
    </w:p>
    <w:p>
      <w:pPr>
        <w:pStyle w:val="FirstParagraph"/>
      </w:pPr>
      <w:r>
        <w:rPr>
          <w:b/>
          <w:bCs/>
        </w:rPr>
        <w:t xml:space="preserve">Mocne strony sprawy (szanse):</w:t>
      </w:r>
      <w:r>
        <w:t xml:space="preserve"> </w:t>
      </w:r>
      <w:r>
        <w:t xml:space="preserve">*</w:t>
      </w:r>
      <w:r>
        <w:t xml:space="preserve"> </w:t>
      </w:r>
      <w:r>
        <w:rPr>
          <w:b/>
          <w:bCs/>
        </w:rPr>
        <w:t xml:space="preserve">Silna ochrona prawna nabywcy:</w:t>
      </w:r>
      <w:r>
        <w:t xml:space="preserve"> </w:t>
      </w:r>
      <w:r>
        <w:t xml:space="preserve">Ustawa deweloperska ma na celu ochronę konsumentów. Środki na mieszkaniowym rachunku powierniczym powinny być wyłączone z majątku dewelopera i nie podlegać zabezpieczeniom zaciągniętym przez dewelopera u banku [Źródło 1].</w:t>
      </w:r>
      <w:r>
        <w:t xml:space="preserve"> </w:t>
      </w:r>
      <w:r>
        <w:t xml:space="preserve">*</w:t>
      </w:r>
      <w:r>
        <w:t xml:space="preserve"> </w:t>
      </w:r>
      <w:r>
        <w:rPr>
          <w:b/>
          <w:bCs/>
        </w:rPr>
        <w:t xml:space="preserve">Wpłata na rachunek powierniczy:</w:t>
      </w:r>
      <w:r>
        <w:t xml:space="preserve"> </w:t>
      </w:r>
      <w:r>
        <w:t xml:space="preserve">Sama wpłata na ten typ rachunku (zgodnie z nazwą w umowie [Źródło 1]) świadczy o zamiarze skorzystania z tej ochrony.</w:t>
      </w:r>
      <w:r>
        <w:t xml:space="preserve"> </w:t>
      </w:r>
      <w:r>
        <w:t xml:space="preserve">*</w:t>
      </w:r>
      <w:r>
        <w:t xml:space="preserve"> </w:t>
      </w:r>
      <w:r>
        <w:rPr>
          <w:b/>
          <w:bCs/>
        </w:rPr>
        <w:t xml:space="preserve">Odmowa zwrotu przez bank:</w:t>
      </w:r>
      <w:r>
        <w:t xml:space="preserve"> </w:t>
      </w:r>
      <w:r>
        <w:t xml:space="preserve">Bezprawna odmowa banku wzmacnia roszczenie A. N..</w:t>
      </w:r>
      <w:r>
        <w:t xml:space="preserve"> </w:t>
      </w:r>
      <w:r>
        <w:t xml:space="preserve">*</w:t>
      </w:r>
      <w:r>
        <w:t xml:space="preserve"> </w:t>
      </w:r>
      <w:r>
        <w:rPr>
          <w:b/>
          <w:bCs/>
        </w:rPr>
        <w:t xml:space="preserve">Problemy dewelopera:</w:t>
      </w:r>
      <w:r>
        <w:t xml:space="preserve"> </w:t>
      </w:r>
      <w:r>
        <w:t xml:space="preserve">“Restrukturyzacja”</w:t>
      </w:r>
      <w:r>
        <w:t xml:space="preserve"> </w:t>
      </w:r>
      <w:r>
        <w:t xml:space="preserve">dewelopera potwierdza zasadność obaw nabywcy i potrzebę zabezpieczenia roszczenia [Źródło 1].</w:t>
      </w:r>
      <w:r>
        <w:t xml:space="preserve"> </w:t>
      </w:r>
      <w:r>
        <w:t xml:space="preserve">*</w:t>
      </w:r>
      <w:r>
        <w:t xml:space="preserve"> </w:t>
      </w:r>
      <w:r>
        <w:rPr>
          <w:b/>
          <w:bCs/>
        </w:rPr>
        <w:t xml:space="preserve">Niski stopień przedawnienia:</w:t>
      </w:r>
      <w:r>
        <w:t xml:space="preserve"> </w:t>
      </w:r>
      <w:r>
        <w:t xml:space="preserve">Roszczenie jest świeże, nie ma ryzyka przedawnienia w najbliższym czasie.</w:t>
      </w:r>
    </w:p>
    <w:p>
      <w:pPr>
        <w:pStyle w:val="BodyText"/>
      </w:pPr>
      <w:r>
        <w:rPr>
          <w:b/>
          <w:bCs/>
        </w:rPr>
        <w:t xml:space="preserve">Słabe strony sprawy (ryzyka):</w:t>
      </w:r>
      <w:r>
        <w:t xml:space="preserve"> </w:t>
      </w:r>
      <w:r>
        <w:t xml:space="preserve">*</w:t>
      </w:r>
      <w:r>
        <w:t xml:space="preserve"> </w:t>
      </w:r>
      <w:r>
        <w:rPr>
          <w:b/>
          <w:bCs/>
        </w:rPr>
        <w:t xml:space="preserve">Brak dostępu do pełnych przepisów:</w:t>
      </w:r>
      <w:r>
        <w:t xml:space="preserve"> </w:t>
      </w:r>
      <w:r>
        <w:t xml:space="preserve">Brak dostępu do pełnych tekstów ustaw (deweloperska, Prawo bankowe) uniemożliwia precyzyjną analizę wszystkich aspektów sprawy i konkretnych artykułów.</w:t>
      </w:r>
      <w:r>
        <w:t xml:space="preserve"> </w:t>
      </w:r>
      <w:r>
        <w:t xml:space="preserve">*</w:t>
      </w:r>
      <w:r>
        <w:t xml:space="preserve"> </w:t>
      </w:r>
      <w:r>
        <w:rPr>
          <w:b/>
          <w:bCs/>
        </w:rPr>
        <w:t xml:space="preserve">Brak treści umowy kredytowej bank-deweloper:</w:t>
      </w:r>
      <w:r>
        <w:t xml:space="preserve"> </w:t>
      </w:r>
      <w:r>
        <w:t xml:space="preserve">Nieznajomość dokładnych postanowień umowy KRD/████/████ i dokumentów zabezpieczających bank [Źródło 1] utrudnia ocenę zakresu i legalności działań banku.</w:t>
      </w:r>
      <w:r>
        <w:t xml:space="preserve"> </w:t>
      </w:r>
      <w:r>
        <w:t xml:space="preserve">*</w:t>
      </w:r>
      <w:r>
        <w:t xml:space="preserve"> </w:t>
      </w:r>
      <w:r>
        <w:rPr>
          <w:b/>
          <w:bCs/>
        </w:rPr>
        <w:t xml:space="preserve">Długotrwałość i koszty postępowania:</w:t>
      </w:r>
      <w:r>
        <w:t xml:space="preserve"> </w:t>
      </w:r>
      <w:r>
        <w:t xml:space="preserve">Postępowania sądowe mogą być czasochłonne i kosztowne.</w:t>
      </w:r>
      <w:r>
        <w:t xml:space="preserve"> </w:t>
      </w:r>
      <w:r>
        <w:t xml:space="preserve">*</w:t>
      </w:r>
      <w:r>
        <w:t xml:space="preserve"> </w:t>
      </w:r>
      <w:r>
        <w:rPr>
          <w:b/>
          <w:bCs/>
        </w:rPr>
        <w:t xml:space="preserve">Niewypłacalność dewelopera:</w:t>
      </w:r>
      <w:r>
        <w:t xml:space="preserve"> </w:t>
      </w:r>
      <w:r>
        <w:t xml:space="preserve">W przypadku formalnego ogłoszenia upadłości dewelopera, nawet jeśli środki są chronione, proces ich odzyskania może być skomplikowany.</w:t>
      </w:r>
      <w:r>
        <w:t xml:space="preserve"> </w:t>
      </w:r>
      <w:r>
        <w:t xml:space="preserve">*</w:t>
      </w:r>
      <w:r>
        <w:t xml:space="preserve"> </w:t>
      </w:r>
      <w:r>
        <w:rPr>
          <w:b/>
          <w:bCs/>
        </w:rPr>
        <w:t xml:space="preserve">Interpretacja klauzuli</w:t>
      </w:r>
      <w:r>
        <w:rPr>
          <w:b/>
          <w:bCs/>
        </w:rPr>
        <w:t xml:space="preserve"> </w:t>
      </w:r>
      <w:r>
        <w:rPr>
          <w:b/>
          <w:bCs/>
        </w:rPr>
        <w:t xml:space="preserve">“z zastrzeżeniem praw banku”</w:t>
      </w:r>
      <w:r>
        <w:rPr>
          <w:b/>
          <w:bCs/>
        </w:rPr>
        <w:t xml:space="preserve">:</w:t>
      </w:r>
      <w:r>
        <w:t xml:space="preserve"> </w:t>
      </w:r>
      <w:r>
        <w:t xml:space="preserve">B. S.A. może próbować argumentować, że klauzula z umowy deweloperskiej o</w:t>
      </w:r>
      <w:r>
        <w:t xml:space="preserve"> </w:t>
      </w:r>
      <w:r>
        <w:t xml:space="preserve">“zastrzeżeniu praw banku”</w:t>
      </w:r>
      <w:r>
        <w:t xml:space="preserve"> </w:t>
      </w:r>
      <w:r>
        <w:t xml:space="preserve">[Źródło 1] uprawniała go do podjęcia działań. Należy jednak stanowczo podważyć jej skuteczność w kontekście nadrzędnej roli rachunku powierniczego.</w:t>
      </w:r>
    </w:p>
    <w:p>
      <w:pPr>
        <w:pStyle w:val="BodyText"/>
      </w:pPr>
      <w:r>
        <w:rPr>
          <w:b/>
          <w:bCs/>
        </w:rPr>
        <w:t xml:space="preserve">Kontrargumenty strony przeciwnej (B. S.A.u i D. sp. z o.o.a):</w:t>
      </w:r>
      <w:r>
        <w:t xml:space="preserve"> </w:t>
      </w:r>
      <w:r>
        <w:t xml:space="preserve">*</w:t>
      </w:r>
      <w:r>
        <w:t xml:space="preserve"> </w:t>
      </w:r>
      <w:r>
        <w:rPr>
          <w:b/>
          <w:bCs/>
        </w:rPr>
        <w:t xml:space="preserve">B. S.A.:</w:t>
      </w:r>
      <w:r>
        <w:t xml:space="preserve"> </w:t>
      </w:r>
      <w:r>
        <w:t xml:space="preserve">Będzie argumentował, że</w:t>
      </w:r>
      <w:r>
        <w:t xml:space="preserve"> </w:t>
      </w:r>
      <w:r>
        <w:t xml:space="preserve">“zamroził”</w:t>
      </w:r>
      <w:r>
        <w:t xml:space="preserve"> </w:t>
      </w:r>
      <w:r>
        <w:t xml:space="preserve">środki w wykonaniu swoich praw wynikających z umowy kredytowej KRD/████/████ i ustanowionych zabezpieczeń (hipoteka, cesja), powołując się na wspomniane</w:t>
      </w:r>
      <w:r>
        <w:t xml:space="preserve"> </w:t>
      </w:r>
      <w:r>
        <w:t xml:space="preserve">“zastrzeżenie praw banku”</w:t>
      </w:r>
      <w:r>
        <w:t xml:space="preserve"> </w:t>
      </w:r>
      <w:r>
        <w:t xml:space="preserve">w umowie deweloperskiej [Źródło 1]. Może także twierdzić, że rachunek nie był w pełni</w:t>
      </w:r>
      <w:r>
        <w:t xml:space="preserve"> </w:t>
      </w:r>
      <w:r>
        <w:t xml:space="preserve">“mieszkaniowym rachunkiem powierniczym”</w:t>
      </w:r>
      <w:r>
        <w:t xml:space="preserve"> </w:t>
      </w:r>
      <w:r>
        <w:t xml:space="preserve">w rozumieniu przepisów, lub że jego interpretacja pozwala na takie działania.</w:t>
      </w:r>
      <w:r>
        <w:t xml:space="preserve"> </w:t>
      </w:r>
      <w:r>
        <w:t xml:space="preserve">*</w:t>
      </w:r>
      <w:r>
        <w:t xml:space="preserve"> </w:t>
      </w:r>
      <w:r>
        <w:rPr>
          <w:b/>
          <w:bCs/>
        </w:rPr>
        <w:t xml:space="preserve">D. sp. z o.o.:</w:t>
      </w:r>
      <w:r>
        <w:t xml:space="preserve"> </w:t>
      </w:r>
      <w:r>
        <w:t xml:space="preserve">Może podnosić, że środki na rachunku są współwłasnością dewelopera, a A. N. jest zobowiązana do dalszych wpłat. Będzie unikał zwrotu środków, powołując się na swoją trudną sytuację finansową.</w:t>
      </w:r>
    </w:p>
    <w:p>
      <w:pPr>
        <w:pStyle w:val="BodyText"/>
      </w:pPr>
      <w:r>
        <w:rPr>
          <w:b/>
          <w:bCs/>
        </w:rPr>
        <w:t xml:space="preserve">Rekomendowana strategia:</w:t>
      </w:r>
    </w:p>
    <w:p>
      <w:pPr>
        <w:pStyle w:val="BodyText"/>
      </w:pPr>
      <w:r>
        <w:t xml:space="preserve">Z uwagi na problemy finansowe dewelopera i stanowczą odmowę banku, rekomendujemy podjęcie równoległych działań:</w:t>
      </w:r>
    </w:p>
    <w:p>
      <w:pPr>
        <w:pStyle w:val="Compact"/>
        <w:numPr>
          <w:ilvl w:val="0"/>
          <w:numId w:val="1017"/>
        </w:numPr>
      </w:pPr>
      <w:r>
        <w:rPr>
          <w:b/>
          <w:bCs/>
        </w:rPr>
        <w:t xml:space="preserve">Postępowanie sądowe:</w:t>
      </w:r>
      <w:r>
        <w:t xml:space="preserve"> </w:t>
      </w:r>
      <w:r>
        <w:t xml:space="preserve">Natychmiastowe złożenie</w:t>
      </w:r>
      <w:r>
        <w:t xml:space="preserve"> </w:t>
      </w:r>
      <w:r>
        <w:rPr>
          <w:b/>
          <w:bCs/>
        </w:rPr>
        <w:t xml:space="preserve">Pozwu o zapłatę</w:t>
      </w:r>
      <w:r>
        <w:t xml:space="preserve"> </w:t>
      </w:r>
      <w:r>
        <w:t xml:space="preserve">przeciwko B. S.A.owi Srebrny S.A. oraz D. sp. z o.o. (solidarnie lub alternatywnie, w zależności od dokładnej analizy relacji prawnych po uzyskaniu dodatkowych dokumentów) o zwrot kwoty 62 000,00 zł wraz z odsetkami ustawowymi za opóźnienie [Źródło 1]. Kluczowe jest równoczesne złożenie</w:t>
      </w:r>
      <w:r>
        <w:t xml:space="preserve"> </w:t>
      </w:r>
      <w:r>
        <w:rPr>
          <w:b/>
          <w:bCs/>
        </w:rPr>
        <w:t xml:space="preserve">Wniosku o zabezpieczenie roszczenia</w:t>
      </w:r>
      <w:r>
        <w:t xml:space="preserve"> </w:t>
      </w:r>
      <w:r>
        <w:t xml:space="preserve">poprzez zajęcie środków na rachunku powierniczym lub zakaz dokonywania z niego wypłat, aby zapobiec dalszemu dysponowaniu pieniędzmi przez bank lub dewelopera.</w:t>
      </w:r>
    </w:p>
    <w:p>
      <w:pPr>
        <w:pStyle w:val="Compact"/>
        <w:numPr>
          <w:ilvl w:val="0"/>
          <w:numId w:val="1017"/>
        </w:numPr>
      </w:pPr>
      <w:r>
        <w:rPr>
          <w:b/>
          <w:bCs/>
        </w:rPr>
        <w:t xml:space="preserve">Działania pozaprocesowe (skargi):</w:t>
      </w:r>
      <w:r>
        <w:t xml:space="preserve"> </w:t>
      </w:r>
      <w:r>
        <w:t xml:space="preserve">Złożenie skargi do Komisji Nadzoru Finansowego (KNF) na działania B. S.A. oraz zawiadomienia do Urzędu Ochrony Konkurencji i Konsumentów (UOKiK) w celu oceny, czy działania banku i dewelopera nie stanowią naruszenia zbiorowych interesów konsumentów. Może to wywrzeć dodatkową presję na B. S.A. i D. sp. z o.o.a.</w:t>
      </w:r>
    </w:p>
    <w:bookmarkEnd w:id="22"/>
    <w:bookmarkStart w:id="25" w:name="projekty-pism"/>
    <w:p>
      <w:pPr>
        <w:pStyle w:val="Heading2"/>
      </w:pPr>
      <w:r>
        <w:t xml:space="preserve">Projekty pism</w:t>
      </w:r>
    </w:p>
    <w:bookmarkStart w:id="23" w:name="projekt-pozew-o-zapłatę"/>
    <w:p>
      <w:pPr>
        <w:pStyle w:val="Heading3"/>
      </w:pPr>
      <w:r>
        <w:t xml:space="preserve">PROJEKT: Pozew o zapłatę</w:t>
      </w:r>
    </w:p>
    <w:p>
      <w:pPr>
        <w:pStyle w:val="FirstParagraph"/>
      </w:pPr>
      <w:r>
        <w:rPr>
          <w:b/>
          <w:bCs/>
        </w:rPr>
        <w:t xml:space="preserve">Sąd w [nazwa właściwego sądu rejonowego dla adresu Pozwanego B. S.A.u lub D. sp. z o.o.a], [adres sądu]</w:t>
      </w:r>
    </w:p>
    <w:p>
      <w:pPr>
        <w:pStyle w:val="BodyText"/>
      </w:pPr>
      <w:r>
        <w:rPr>
          <w:b/>
          <w:bCs/>
        </w:rPr>
        <w:t xml:space="preserve">A. N.:</w:t>
      </w:r>
      <w:r>
        <w:t xml:space="preserve"> </w:t>
      </w:r>
      <w:r>
        <w:t xml:space="preserve">A. N.</w:t>
      </w:r>
      <w:r>
        <w:t xml:space="preserve"> </w:t>
      </w:r>
      <w:r>
        <w:t xml:space="preserve">ul. Leśna 7/3</w:t>
      </w:r>
      <w:r>
        <w:t xml:space="preserve"> </w:t>
      </w:r>
      <w:r>
        <w:t xml:space="preserve">05-500 Piaseczno</w:t>
      </w:r>
      <w:r>
        <w:t xml:space="preserve"> </w:t>
      </w:r>
      <w:r>
        <w:t xml:space="preserve">PESEL: [PESEL A. N.]</w:t>
      </w:r>
    </w:p>
    <w:p>
      <w:pPr>
        <w:pStyle w:val="BodyText"/>
      </w:pPr>
      <w:r>
        <w:rPr>
          <w:b/>
          <w:bCs/>
        </w:rPr>
        <w:t xml:space="preserve">B. S.A.:</w:t>
      </w:r>
      <w:r>
        <w:t xml:space="preserve"> </w:t>
      </w:r>
      <w:r>
        <w:t xml:space="preserve">B. S.A.</w:t>
      </w:r>
      <w:r>
        <w:t xml:space="preserve"> </w:t>
      </w:r>
      <w:r>
        <w:t xml:space="preserve">[adres B. S.A. – brak w kazusie]</w:t>
      </w:r>
      <w:r>
        <w:t xml:space="preserve"> </w:t>
      </w:r>
      <w:r>
        <w:t xml:space="preserve">KRS: [numer KRS B. S.A.u]</w:t>
      </w:r>
    </w:p>
    <w:p>
      <w:pPr>
        <w:pStyle w:val="BodyText"/>
      </w:pPr>
      <w:r>
        <w:rPr>
          <w:b/>
          <w:bCs/>
        </w:rPr>
        <w:t xml:space="preserve">D. sp. z o.o.:</w:t>
      </w:r>
      <w:r>
        <w:t xml:space="preserve"> </w:t>
      </w:r>
      <w:r>
        <w:t xml:space="preserve">„D. sp. z o.o.” Sp. z o.o.</w:t>
      </w:r>
      <w:r>
        <w:t xml:space="preserve"> </w:t>
      </w:r>
      <w:r>
        <w:t xml:space="preserve">ul. Słoneczna 12</w:t>
      </w:r>
      <w:r>
        <w:t xml:space="preserve"> </w:t>
      </w:r>
      <w:r>
        <w:t xml:space="preserve">00-950 Warszawa</w:t>
      </w:r>
      <w:r>
        <w:t xml:space="preserve"> </w:t>
      </w:r>
      <w:r>
        <w:t xml:space="preserve">KRS: [numer KRS D. sp. z o.o.a]</w:t>
      </w:r>
    </w:p>
    <w:p>
      <w:pPr>
        <w:pStyle w:val="BodyText"/>
      </w:pPr>
      <w:r>
        <w:rPr>
          <w:b/>
          <w:bCs/>
        </w:rPr>
        <w:t xml:space="preserve">Wartość przedmiotu sporu:</w:t>
      </w:r>
      <w:r>
        <w:t xml:space="preserve"> </w:t>
      </w:r>
      <w:r>
        <w:t xml:space="preserve">62 000,00 zł</w:t>
      </w:r>
      <w:r>
        <w:t xml:space="preserve"> </w:t>
      </w:r>
      <w:r>
        <w:rPr>
          <w:b/>
          <w:bCs/>
        </w:rPr>
        <w:t xml:space="preserve">Opłata sądowa:</w:t>
      </w:r>
      <w:r>
        <w:t xml:space="preserve"> </w:t>
      </w:r>
      <w:r>
        <w:t xml:space="preserve">3 100,00 zł (uiszczono wraz z pozwem)</w:t>
      </w:r>
    </w:p>
    <w:p>
      <w:pPr>
        <w:pStyle w:val="BodyText"/>
      </w:pPr>
      <w:r>
        <w:rPr>
          <w:b/>
          <w:bCs/>
        </w:rPr>
        <w:t xml:space="preserve">POZEW O ZAPŁATĘ</w:t>
      </w:r>
    </w:p>
    <w:p>
      <w:pPr>
        <w:pStyle w:val="BodyText"/>
      </w:pPr>
      <w:r>
        <w:t xml:space="preserve">Wnoszę o:</w:t>
      </w:r>
    </w:p>
    <w:p>
      <w:pPr>
        <w:pStyle w:val="Compact"/>
        <w:numPr>
          <w:ilvl w:val="0"/>
          <w:numId w:val="1018"/>
        </w:numPr>
      </w:pPr>
      <w:r>
        <w:t xml:space="preserve">Zasądzenie solidarnie (ew. in blanco - alternatywnie) od Pozwanego 1 – B. S.A. oraz Pozwanego 2 – „D. sp. z o.o.” Sp. z o.o. na rzecz A. N. kwoty 62 000,00 zł (sześćdziesiąt dwa tysiące złotych 00/100) wraz z ustawowymi odsetkami za opóźnienie od dnia 15 stycznia 2024 r. do dnia zapłaty.</w:t>
      </w:r>
    </w:p>
    <w:p>
      <w:pPr>
        <w:pStyle w:val="Compact"/>
        <w:numPr>
          <w:ilvl w:val="0"/>
          <w:numId w:val="1018"/>
        </w:numPr>
      </w:pPr>
      <w:r>
        <w:t xml:space="preserve">Zasądzenie solidarnie od Pozwanego 1 i Pozwanego 2 na rzecz A. N. kosztów procesu, w tym kosztów zastępstwa procesowego, według norm przepisanych.</w:t>
      </w:r>
    </w:p>
    <w:p>
      <w:pPr>
        <w:pStyle w:val="Compact"/>
        <w:numPr>
          <w:ilvl w:val="0"/>
          <w:numId w:val="1018"/>
        </w:numPr>
      </w:pPr>
      <w:r>
        <w:t xml:space="preserve">Przeprowadzenie rozprawy także pod nieobecność A. N..</w:t>
      </w:r>
    </w:p>
    <w:p>
      <w:pPr>
        <w:pStyle w:val="FirstParagraph"/>
      </w:pPr>
      <w:r>
        <w:rPr>
          <w:b/>
          <w:bCs/>
        </w:rPr>
        <w:t xml:space="preserve">Uzasadnienie</w:t>
      </w:r>
    </w:p>
    <w:p>
      <w:pPr>
        <w:pStyle w:val="BodyText"/>
      </w:pPr>
      <w:r>
        <w:t xml:space="preserve">W dniu 10 stycznia 2024 r. A. N. zawarła z Pozwanym 2 – „D. sp. z o.o.” Sp. z o.o. umowę deweloperską nr DI/████/███ dotyczącą zakupu mieszkania o wartości 620 000,00 zł brutto [Źródło 1].</w:t>
      </w:r>
    </w:p>
    <w:p>
      <w:pPr>
        <w:pStyle w:val="BodyText"/>
      </w:pPr>
      <w:r>
        <w:rPr>
          <w:b/>
          <w:bCs/>
        </w:rPr>
        <w:t xml:space="preserve">Dowód:</w:t>
      </w:r>
      <w:r>
        <w:t xml:space="preserve"> </w:t>
      </w:r>
      <w:r>
        <w:t xml:space="preserve">Umowa deweloperska nr DI/████/███ z dnia 10.01.2024 r.</w:t>
      </w:r>
    </w:p>
    <w:p>
      <w:pPr>
        <w:pStyle w:val="BodyText"/>
      </w:pPr>
      <w:r>
        <w:t xml:space="preserve">W wykonaniu umowy deweloperskiej, w dniu 15 stycznia 2024 r., A. N. wpłaciła kwotę 62 000,00 zł (stanowiącą 10% ceny) na wskazany w umowie mieszkaniowy rachunek powierniczy prowadzony przez B. S.A. – B. S.A. [Źródło 1]. Zgodnie z § 6 umowy deweloperskiej, środki na rachunku miały być gromadzone na rzecz Nabywcy i D. sp. z o.o.a, a dysponowanie nimi miało nastąpić po zatwierdzeniu przez B. S.A. i przedstawieniu dokumentów potwierdzających etap inwestycji. Co istotne, umowa przewidywała, że w przypadku upadłości lub niewypłacalności dewelopera, środki pozostają własnością nabywcy i podlegają zwrotowi [Źródło 1].</w:t>
      </w:r>
    </w:p>
    <w:p>
      <w:pPr>
        <w:pStyle w:val="BodyText"/>
      </w:pPr>
      <w:r>
        <w:rPr>
          <w:b/>
          <w:bCs/>
        </w:rPr>
        <w:t xml:space="preserve">Dowód:</w:t>
      </w:r>
      <w:r>
        <w:t xml:space="preserve"> </w:t>
      </w:r>
      <w:r>
        <w:t xml:space="preserve">Potwierdzenie przelewu kwoty 62 000,00 zł z dnia 15.01.2024 r.</w:t>
      </w:r>
    </w:p>
    <w:p>
      <w:pPr>
        <w:pStyle w:val="BodyText"/>
      </w:pPr>
      <w:r>
        <w:t xml:space="preserve">W dniu 20 maja 2024 r. B. S.A. – B. S.A. poinformował nabywców o „zamrożeniu” rachunku powierniczego w celu zabezpieczenia wierzytelności banku wobec Pozwanego 2, wynikających z umowy kredytowej KRD/████/████ [Źródło 1]. Następnie, 1 lipca 2024 r., D. sp. z o.o. ogłosił „restrukturyzację” i wezwanie wierzycieli [Źródło 1].</w:t>
      </w:r>
    </w:p>
    <w:p>
      <w:pPr>
        <w:pStyle w:val="BodyText"/>
      </w:pPr>
      <w:r>
        <w:rPr>
          <w:b/>
          <w:bCs/>
        </w:rPr>
        <w:t xml:space="preserve">Dowód:</w:t>
      </w:r>
      <w:r>
        <w:t xml:space="preserve"> </w:t>
      </w:r>
      <w:r>
        <w:t xml:space="preserve">Pismo B. S.A. z dnia 20.05.2024 r.</w:t>
      </w:r>
      <w:r>
        <w:t xml:space="preserve"> </w:t>
      </w:r>
      <w:r>
        <w:rPr>
          <w:b/>
          <w:bCs/>
        </w:rPr>
        <w:t xml:space="preserve">Dowód:</w:t>
      </w:r>
      <w:r>
        <w:t xml:space="preserve"> </w:t>
      </w:r>
      <w:r>
        <w:t xml:space="preserve">Informacja Pozwanego 2 z dnia 01.07.2024 r. o restrukturyzacji.</w:t>
      </w:r>
    </w:p>
    <w:p>
      <w:pPr>
        <w:pStyle w:val="BodyText"/>
      </w:pPr>
      <w:r>
        <w:t xml:space="preserve">Wobec zaistniałej sytuacji, w dniu 15 sierpnia 2024 r. A. N. zgłosiła reklamację do Pozwanego 1 z żądaniem zwrotu wpłaconych środków [Źródło 1]. W odpowiedzi, B. S.A. pismem z dnia 5 września 2024 r. odmówił zwrotu, powołując się na zabezpieczenie wierzytelności (hipoteka przymusowa, cesja) i obciążenie środków na rachunku [Źródło 1]. Równocześnie, D. sp. z o.o., mimo braku potwierdzenia kolejnego etapu inwestycji, zażądał od A. N. dodatkowej wpłaty w wysokości 31 000,00 zł [Źródło 1].</w:t>
      </w:r>
    </w:p>
    <w:p>
      <w:pPr>
        <w:pStyle w:val="BodyText"/>
      </w:pPr>
      <w:r>
        <w:rPr>
          <w:b/>
          <w:bCs/>
        </w:rPr>
        <w:t xml:space="preserve">Dowód:</w:t>
      </w:r>
      <w:r>
        <w:t xml:space="preserve"> </w:t>
      </w:r>
      <w:r>
        <w:t xml:space="preserve">Reklamacja A. N. z dnia 15.08.2024 r.</w:t>
      </w:r>
      <w:r>
        <w:t xml:space="preserve"> </w:t>
      </w:r>
      <w:r>
        <w:rPr>
          <w:b/>
          <w:bCs/>
        </w:rPr>
        <w:t xml:space="preserve">Dowód:</w:t>
      </w:r>
      <w:r>
        <w:t xml:space="preserve"> </w:t>
      </w:r>
      <w:r>
        <w:t xml:space="preserve">Pismo B. S.A. z dnia 05.09.2024 r. (odmowa zwrotu).</w:t>
      </w:r>
      <w:r>
        <w:t xml:space="preserve"> </w:t>
      </w:r>
      <w:r>
        <w:rPr>
          <w:b/>
          <w:bCs/>
        </w:rPr>
        <w:t xml:space="preserve">Dowód:</w:t>
      </w:r>
      <w:r>
        <w:t xml:space="preserve"> </w:t>
      </w:r>
      <w:r>
        <w:t xml:space="preserve">Korespondencja z Pozwanym 2 dotycząca żądania dodatkowej wpłaty.</w:t>
      </w:r>
    </w:p>
    <w:p>
      <w:pPr>
        <w:pStyle w:val="BodyText"/>
      </w:pPr>
      <w:r>
        <w:t xml:space="preserve">Działanie Pozwanego 1 – B. S.A. polegające na „zamrożeniu” środków na mieszkaniowym rachunku powierniczym i odmowie ich zwrotu jest niezgodne z przepisami ustawy o ochronie praw nabywcy lokalu lub domu jednorodzinnego oraz Prawa bankowego, których celem jest ochrona nabywców. Środki zgromadzone na mieszkaniowym rachunku powierniczym są majątkiem powierzonym przez nabywcę i powinny być wyłączone z majątku dewelopera, a tym samym nie mogą służyć zabezpieczeniu wierzytelności banku wobec dewelopera. Ewentualne zastrzeżenia w umowie deweloperskiej o prawach banku do zabezpieczeń nie mogą niweczyć nadrzędnej funkcji ochronnej rachunku powierniczego.</w:t>
      </w:r>
      <w:r>
        <w:t xml:space="preserve"> </w:t>
      </w:r>
      <w:r>
        <w:t xml:space="preserve">Z kolei D. sp. z o.o. – „D. sp. z o.o.” Sp. z o.o., w obliczu ogłoszenia restrukturyzacji i braku realizacji kolejnych etapów inwestycji, jest zobowiązany do zwrotu wpłaconych środków. Żądanie dodatkowej wpłaty przy jednoczesnym niewykonaniu zobowiązań umownych jest bezpodstawne.</w:t>
      </w:r>
      <w:r>
        <w:t xml:space="preserve"> </w:t>
      </w:r>
      <w:r>
        <w:t xml:space="preserve">W konsekwencji, roszczenie A. N. o zwrot kwoty 62 000,00 zł jest w pełni uzasadnione. Ze względu na opóźnienie w spełnieniu świadczenia, Powódce przysługują również odsetki ustawowe za opóźnienie na podstawie art. 481 § 1 i 2 Kodeksu cywilnego, liczone od dnia wpłaty, tj. 15 stycznia 2024 r. do dnia zapłaty.</w:t>
      </w:r>
    </w:p>
    <w:p>
      <w:pPr>
        <w:pStyle w:val="BodyText"/>
      </w:pPr>
      <w:r>
        <w:t xml:space="preserve">Z uwagi na powyższe, wniesienie pozwu jest konieczne i w pełni uzasadnione.</w:t>
      </w:r>
    </w:p>
    <w:p>
      <w:pPr>
        <w:pStyle w:val="BodyText"/>
      </w:pPr>
      <w:r>
        <w:rPr>
          <w:b/>
          <w:bCs/>
        </w:rPr>
        <w:t xml:space="preserve">Wnioski dowodowe:</w:t>
      </w:r>
      <w:r>
        <w:t xml:space="preserve"> </w:t>
      </w:r>
      <w:r>
        <w:t xml:space="preserve">1. Dowód z dokumentów wymienionych w uzasadnieniu pozwu – na okoliczność zawarcia umowy, dokonania wpłaty, stanowisk stron i bezprawnego działania banku i dewelopera.</w:t>
      </w:r>
      <w:r>
        <w:t xml:space="preserve"> </w:t>
      </w:r>
      <w:r>
        <w:t xml:space="preserve">2. Dowód z wezwania Pozwanego 1 – B. S.A. oraz Pozwanego 2 – „D. sp. z o.o.” Sp. z o.o. do przedstawienia:</w:t>
      </w:r>
      <w:r>
        <w:t xml:space="preserve"> </w:t>
      </w:r>
      <w:r>
        <w:t xml:space="preserve">* Umowy kredytowej KRD/████/████ zawartej pomiędzy Pozwanym 1 a Pozwanym 2.</w:t>
      </w:r>
      <w:r>
        <w:t xml:space="preserve"> </w:t>
      </w:r>
      <w:r>
        <w:t xml:space="preserve">* Dokumentów dotyczących ustanowienia zabezpieczeń (hipoteki, cesji) na rzecz Pozwanego 1.</w:t>
      </w:r>
      <w:r>
        <w:t xml:space="preserve"> </w:t>
      </w:r>
      <w:r>
        <w:t xml:space="preserve">* Potwierdzeń wypłat z mieszkaniowego rachunku powierniczego na rzecz Pozwanego 2, wraz z dokumentami potwierdzającymi zakończenie etapów budowy.</w:t>
      </w:r>
      <w:r>
        <w:t xml:space="preserve"> </w:t>
      </w:r>
      <w:r>
        <w:t xml:space="preserve">– na okoliczność istnienia i treści umów zabezpieczających oraz prawidłowości zarządzania rachunkiem powierniczym, zgodnie z art. 256 Kodeksu postępowania cywilnego w zw. z art. 187 § 2 pkt 3 i 4 KPC.</w:t>
      </w:r>
    </w:p>
    <w:p>
      <w:pPr>
        <w:pStyle w:val="BodyText"/>
      </w:pPr>
      <w:r>
        <w:rPr>
          <w:b/>
          <w:bCs/>
        </w:rPr>
        <w:t xml:space="preserve">Załączniki:</w:t>
      </w:r>
      <w:r>
        <w:t xml:space="preserve"> </w:t>
      </w:r>
      <w:r>
        <w:t xml:space="preserve">1. Potwierdzenie uiszczenia opłaty sądowej od pozwu.</w:t>
      </w:r>
      <w:r>
        <w:t xml:space="preserve"> </w:t>
      </w:r>
      <w:r>
        <w:t xml:space="preserve">2. Odpis pozwu i załączników.</w:t>
      </w:r>
      <w:r>
        <w:t xml:space="preserve"> </w:t>
      </w:r>
      <w:r>
        <w:t xml:space="preserve">3. Umowa deweloperska nr DI/████/███ z dnia 10.01.2024 r.</w:t>
      </w:r>
      <w:r>
        <w:t xml:space="preserve"> </w:t>
      </w:r>
      <w:r>
        <w:t xml:space="preserve">4. Potwierdzenie przelewu kwoty 62 000,00 zł z dnia 15.01.2024 r.</w:t>
      </w:r>
      <w:r>
        <w:t xml:space="preserve"> </w:t>
      </w:r>
      <w:r>
        <w:t xml:space="preserve">5. Pismo B. S.A. z dnia 20.05.2024 r.</w:t>
      </w:r>
      <w:r>
        <w:t xml:space="preserve"> </w:t>
      </w:r>
      <w:r>
        <w:t xml:space="preserve">6. Informacja Pozwanego 2 z dnia 01.07.2024 r. o restrukturyzacji.</w:t>
      </w:r>
      <w:r>
        <w:t xml:space="preserve"> </w:t>
      </w:r>
      <w:r>
        <w:t xml:space="preserve">7. Reklamacja A. N. z dnia 15.08.2024 r.</w:t>
      </w:r>
      <w:r>
        <w:t xml:space="preserve"> </w:t>
      </w:r>
      <w:r>
        <w:t xml:space="preserve">8. Pismo B. S.A. z dnia 05.09.2024 r. (odmowa zwrotu).</w:t>
      </w:r>
      <w:r>
        <w:t xml:space="preserve"> </w:t>
      </w:r>
      <w:r>
        <w:t xml:space="preserve">9. [Inna korespondencja z deweloperem, np. żądanie dopłaty].</w:t>
      </w:r>
      <w:r>
        <w:t xml:space="preserve"> </w:t>
      </w:r>
      <w:r>
        <w:t xml:space="preserve">10. Pełnomocnictwo.</w:t>
      </w:r>
    </w:p>
    <w:p>
      <w:pPr>
        <w:pStyle w:val="BodyText"/>
      </w:pPr>
      <w:r>
        <w:rPr>
          <w:b/>
          <w:bCs/>
        </w:rPr>
        <w:t xml:space="preserve">[Podpis pełnomocnika]</w:t>
      </w:r>
    </w:p>
    <w:bookmarkEnd w:id="23"/>
    <w:bookmarkStart w:id="24" w:name="Xcfc2cb3443214ae2ab182738b16fb20ab137fb5"/>
    <w:p>
      <w:pPr>
        <w:pStyle w:val="Heading3"/>
      </w:pPr>
      <w:r>
        <w:t xml:space="preserve">PROJEKT: Wniosek o zabezpieczenie roszczenia</w:t>
      </w:r>
    </w:p>
    <w:p>
      <w:pPr>
        <w:pStyle w:val="FirstParagraph"/>
      </w:pPr>
      <w:r>
        <w:rPr>
          <w:b/>
          <w:bCs/>
        </w:rPr>
        <w:t xml:space="preserve">Sąd w [nazwa właściwego sądu rejonowego dla adresu Pozwanego B. S.A.u lub D. sp. z o.o.a], [adres sądu]</w:t>
      </w:r>
    </w:p>
    <w:p>
      <w:pPr>
        <w:pStyle w:val="BodyText"/>
      </w:pPr>
      <w:r>
        <w:rPr>
          <w:b/>
          <w:bCs/>
        </w:rPr>
        <w:t xml:space="preserve">A. N.:</w:t>
      </w:r>
      <w:r>
        <w:t xml:space="preserve"> </w:t>
      </w:r>
      <w:r>
        <w:t xml:space="preserve">A. N.</w:t>
      </w:r>
      <w:r>
        <w:t xml:space="preserve"> </w:t>
      </w:r>
      <w:r>
        <w:t xml:space="preserve">ul. Leśna 7/3</w:t>
      </w:r>
      <w:r>
        <w:t xml:space="preserve"> </w:t>
      </w:r>
      <w:r>
        <w:t xml:space="preserve">05-500 Piaseczno</w:t>
      </w:r>
      <w:r>
        <w:t xml:space="preserve"> </w:t>
      </w:r>
      <w:r>
        <w:t xml:space="preserve">PESEL: [PESEL A. N.]</w:t>
      </w:r>
    </w:p>
    <w:p>
      <w:pPr>
        <w:pStyle w:val="BodyText"/>
      </w:pPr>
      <w:r>
        <w:rPr>
          <w:b/>
          <w:bCs/>
        </w:rPr>
        <w:t xml:space="preserve">B. S.A.:</w:t>
      </w:r>
      <w:r>
        <w:t xml:space="preserve"> </w:t>
      </w:r>
      <w:r>
        <w:t xml:space="preserve">B. S.A.</w:t>
      </w:r>
      <w:r>
        <w:t xml:space="preserve"> </w:t>
      </w:r>
      <w:r>
        <w:t xml:space="preserve">[adres B. S.A. – brak w kazusie]</w:t>
      </w:r>
      <w:r>
        <w:t xml:space="preserve"> </w:t>
      </w:r>
      <w:r>
        <w:t xml:space="preserve">KRS: [numer KRS B. S.A.u]</w:t>
      </w:r>
    </w:p>
    <w:p>
      <w:pPr>
        <w:pStyle w:val="BodyText"/>
      </w:pPr>
      <w:r>
        <w:rPr>
          <w:b/>
          <w:bCs/>
        </w:rPr>
        <w:t xml:space="preserve">D. sp. z o.o.:</w:t>
      </w:r>
      <w:r>
        <w:t xml:space="preserve"> </w:t>
      </w:r>
      <w:r>
        <w:t xml:space="preserve">„D. sp. z o.o.” Sp. z o.o.</w:t>
      </w:r>
      <w:r>
        <w:t xml:space="preserve"> </w:t>
      </w:r>
      <w:r>
        <w:t xml:space="preserve">ul. Słoneczna 12</w:t>
      </w:r>
      <w:r>
        <w:t xml:space="preserve"> </w:t>
      </w:r>
      <w:r>
        <w:t xml:space="preserve">00-950 Warszawa</w:t>
      </w:r>
      <w:r>
        <w:t xml:space="preserve"> </w:t>
      </w:r>
      <w:r>
        <w:t xml:space="preserve">KRS: [numer KRS D. sp. z o.o.a]</w:t>
      </w:r>
    </w:p>
    <w:p>
      <w:pPr>
        <w:pStyle w:val="BodyText"/>
      </w:pPr>
      <w:r>
        <w:rPr>
          <w:b/>
          <w:bCs/>
        </w:rPr>
        <w:t xml:space="preserve">Wartość przedmiotu zabezpieczenia:</w:t>
      </w:r>
      <w:r>
        <w:t xml:space="preserve"> </w:t>
      </w:r>
      <w:r>
        <w:t xml:space="preserve">66 946,58 zł (kwota roszczenia głównego wraz z odsetkami na dzień 30.09.2024 r.)</w:t>
      </w:r>
      <w:r>
        <w:t xml:space="preserve"> </w:t>
      </w:r>
      <w:r>
        <w:rPr>
          <w:b/>
          <w:bCs/>
        </w:rPr>
        <w:t xml:space="preserve">Opłata sądowa:</w:t>
      </w:r>
      <w:r>
        <w:t xml:space="preserve"> </w:t>
      </w:r>
      <w:r>
        <w:t xml:space="preserve">775,00 zł (uiszczono wraz z wnioskiem)</w:t>
      </w:r>
    </w:p>
    <w:p>
      <w:pPr>
        <w:pStyle w:val="BodyText"/>
      </w:pPr>
      <w:r>
        <w:rPr>
          <w:b/>
          <w:bCs/>
        </w:rPr>
        <w:t xml:space="preserve">WNIOSEK O ZABEZPIECZENIE ROSZCZENIA</w:t>
      </w:r>
    </w:p>
    <w:p>
      <w:pPr>
        <w:pStyle w:val="BodyText"/>
      </w:pPr>
      <w:r>
        <w:t xml:space="preserve">Wnoszę o:</w:t>
      </w:r>
    </w:p>
    <w:p>
      <w:pPr>
        <w:pStyle w:val="Compact"/>
        <w:numPr>
          <w:ilvl w:val="0"/>
          <w:numId w:val="1019"/>
        </w:numPr>
      </w:pPr>
      <w:r>
        <w:t xml:space="preserve">Udzielenie zabezpieczenia roszczenia A. N. o zapłatę kwoty 62 000,00 zł (sześćdziesiąt dwa tysiące złotych 00/100) wraz z ustawowymi odsetkami za opóźnienie od dnia 15 stycznia 2024 r. do dnia zapłaty, poprzez:</w:t>
      </w:r>
    </w:p>
    <w:p>
      <w:pPr>
        <w:pStyle w:val="Compact"/>
        <w:numPr>
          <w:ilvl w:val="1"/>
          <w:numId w:val="1020"/>
        </w:numPr>
      </w:pPr>
      <w:r>
        <w:t xml:space="preserve">ustanowienie zakazu dokonywania jakichkolwiek wypłat lub obciążeń z mieszkaniowego rachunku powierniczego nr [numer rachunku – brak w kazusie], prowadzonego przez B. S.A. – B. S.A. na rzecz Pozwanego 2 – „D. sp. z o.o.” Sp. z o.o. (lub o numerach wskazanych w umowie deweloperskiej), do kwoty 66 946,58 zł, do czasu prawomocnego zakończenia niniejszego postępowania;</w:t>
      </w:r>
    </w:p>
    <w:p>
      <w:pPr>
        <w:pStyle w:val="Compact"/>
        <w:numPr>
          <w:ilvl w:val="1"/>
          <w:numId w:val="1020"/>
        </w:numPr>
      </w:pPr>
      <w:r>
        <w:t xml:space="preserve">alternatywnie, zajęcie wierzytelności Pozwanego 2 wobec Pozwanego 1 z tytułu mieszkaniowego rachunku powierniczego nr [numer rachunku – brak w kazusie] do kwoty 66 946,58 zł, do czasu prawomocnego zakończenia niniejszego postępowania.</w:t>
      </w:r>
    </w:p>
    <w:p>
      <w:pPr>
        <w:pStyle w:val="Compact"/>
        <w:numPr>
          <w:ilvl w:val="0"/>
          <w:numId w:val="1019"/>
        </w:numPr>
      </w:pPr>
      <w:r>
        <w:t xml:space="preserve">Zasądzenie od Pozwanego 1 i Pozwanego 2 na rzecz A. N. kosztów postępowania zabezpieczającego.</w:t>
      </w:r>
    </w:p>
    <w:p>
      <w:pPr>
        <w:pStyle w:val="FirstParagraph"/>
      </w:pPr>
      <w:r>
        <w:rPr>
          <w:b/>
          <w:bCs/>
        </w:rPr>
        <w:t xml:space="preserve">Uzasadnienie</w:t>
      </w:r>
    </w:p>
    <w:p>
      <w:pPr>
        <w:pStyle w:val="BodyText"/>
      </w:pPr>
      <w:r>
        <w:rPr>
          <w:b/>
          <w:bCs/>
        </w:rPr>
        <w:t xml:space="preserve">I. Uprawdopodobnienie roszczenia (Art. 730^1 § 1 KPC):</w:t>
      </w:r>
      <w:r>
        <w:t xml:space="preserve"> </w:t>
      </w:r>
      <w:r>
        <w:t xml:space="preserve">Roszczenie A. N. o zwrot kwoty 62 000,00 zł wraz z odsetkami ustawowymi za opóźnienie jest uprawdopodobnione na podstawie przedstawionych dowodów. A. N. zawarła umowę deweloperską z Pozwanym 2 i wpłaciła na mieszkaniowy rachunek powierniczy prowadzony przez Pozwanego 1 kwotę 62 000,00 zł [Źródło 1]. Celem rachunku powierniczego jest zabezpieczenie środków nabywcy przed wierzycielami dewelopera. Mimo to, B. S.A. „zamroził” rachunek, a D. sp. z o.o. ogłosił „restrukturyzację” i żąda dodatkowych wpłat, nie realizując przy tym zobowiązań umownych [Źródło 1]. Działania Pozwanego 1 są sprzeczne z ochronną funkcją rachunku powierniczego, a Pozwanego 2 wskazują na niewykonanie umowy deweloperskiej.</w:t>
      </w:r>
      <w:r>
        <w:t xml:space="preserve"> </w:t>
      </w:r>
      <w:r>
        <w:t xml:space="preserve">Szczegółowe uzasadnienie roszczenia zawarto w Pozwie o zapłatę z dnia [data złożenia pozwu], który zostaje niniejszym załączony.</w:t>
      </w:r>
    </w:p>
    <w:p>
      <w:pPr>
        <w:pStyle w:val="BodyText"/>
      </w:pPr>
      <w:r>
        <w:rPr>
          <w:b/>
          <w:bCs/>
        </w:rPr>
        <w:t xml:space="preserve">II. Uprawdopodobnienie interesu prawnego w udzieleniu zabezpieczenia (Art. 730^1 § 1 i 2 KPC):</w:t>
      </w:r>
      <w:r>
        <w:t xml:space="preserve"> </w:t>
      </w:r>
      <w:r>
        <w:t xml:space="preserve">Interes prawny A. N. w udzieleniu zabezpieczenia jest bezsporny. Ogłoszenie przez Pozwanego 2 „restrukturyzacji” i wezwanie wierzycieli [Źródło 1] świadczy o jego poważnych problemach finansowych, co grozi całkowitą niewypłacalnością i uniemożliwieniem odzyskania środków w przyszłości. Dodatkowo, działanie Pozwanego 1 – B. S.A. polegające na „zamrożeniu” rachunku powierniczego [Źródło 1] i odmowa zwrotu wpłaconych środków, z powołaniem się na zabezpieczenia wierzytelności wobec Pozwanego 2, stwarza bezpośrednie ryzyko, że środki należące do A. N. zostaną wykorzystane niezgodnie z ich przeznaczeniem lub staną się przedmiotem egzekucji innych wierzycieli. Brak zabezpieczenia roszczenia w chwili obecnej może zatem uniemożliwić lub poważnie utrudnić wykonanie orzeczenia zasądzającego w przyszłości, pozbawiając Powódkę możliwości odzyskania należnych jej środków.</w:t>
      </w:r>
    </w:p>
    <w:p>
      <w:pPr>
        <w:pStyle w:val="BodyText"/>
      </w:pPr>
      <w:r>
        <w:rPr>
          <w:b/>
          <w:bCs/>
        </w:rPr>
        <w:t xml:space="preserve">III. Wskazanie sposobu zabezpieczenia (Art. 736 § 1 pkt 1 KPC):</w:t>
      </w:r>
      <w:r>
        <w:t xml:space="preserve"> </w:t>
      </w:r>
      <w:r>
        <w:t xml:space="preserve">Proponowane sposoby zabezpieczenia (zakaz wypłat lub zajęcie wierzytelności z rachunku powierniczego) są adekwatne do charakteru roszczenia i sytuacji faktycznej. Zapewnią one zachowanie środków na rachunku, uniemożliwiając ich dalsze nieuprawnione obciążenie lub wypłatę, a jednocześnie nie spowodują nadmiernego obciążenia Pozwanych.</w:t>
      </w:r>
    </w:p>
    <w:p>
      <w:pPr>
        <w:pStyle w:val="BodyText"/>
      </w:pPr>
      <w:r>
        <w:t xml:space="preserve">Z uwagi na powyższe, wniesienie wniosku o zabezpieczenie jest konieczne dla ochrony praw A. N..</w:t>
      </w:r>
    </w:p>
    <w:p>
      <w:pPr>
        <w:pStyle w:val="BodyText"/>
      </w:pPr>
      <w:r>
        <w:rPr>
          <w:b/>
          <w:bCs/>
        </w:rPr>
        <w:t xml:space="preserve">Załączniki:</w:t>
      </w:r>
      <w:r>
        <w:t xml:space="preserve"> </w:t>
      </w:r>
      <w:r>
        <w:t xml:space="preserve">1. Potwierdzenie uiszczenia opłaty sądowej od wniosku.</w:t>
      </w:r>
      <w:r>
        <w:t xml:space="preserve"> </w:t>
      </w:r>
      <w:r>
        <w:t xml:space="preserve">2. Odpis wniosku i załączników.</w:t>
      </w:r>
      <w:r>
        <w:t xml:space="preserve"> </w:t>
      </w:r>
      <w:r>
        <w:t xml:space="preserve">3. Pozew o zapłatę z dnia [data złożenia pozwu] wraz z załącznikami.</w:t>
      </w:r>
      <w:r>
        <w:t xml:space="preserve"> </w:t>
      </w:r>
      <w:r>
        <w:t xml:space="preserve">4. Pełnomocnictwo.</w:t>
      </w:r>
    </w:p>
    <w:p>
      <w:pPr>
        <w:pStyle w:val="BodyText"/>
      </w:pPr>
      <w:r>
        <w:rPr>
          <w:b/>
          <w:bCs/>
        </w:rPr>
        <w:t xml:space="preserve">[Podpis pełnomocnika]</w:t>
      </w:r>
    </w:p>
    <w:bookmarkEnd w:id="24"/>
    <w:bookmarkEnd w:id="25"/>
    <w:bookmarkStart w:id="26" w:name="instrukcja-kolejnych-kroków"/>
    <w:p>
      <w:pPr>
        <w:pStyle w:val="Heading2"/>
      </w:pPr>
      <w:r>
        <w:t xml:space="preserve">Instrukcja kolejnych kroków</w:t>
      </w:r>
    </w:p>
    <w:p>
      <w:pPr>
        <w:pStyle w:val="Compact"/>
        <w:numPr>
          <w:ilvl w:val="0"/>
          <w:numId w:val="1021"/>
        </w:numPr>
      </w:pPr>
      <w:r>
        <w:rPr>
          <w:b/>
          <w:bCs/>
        </w:rPr>
        <w:t xml:space="preserve">Złożenie Pozwu o zapłatę wraz z Wnioskiem o zabezpieczenie roszczenia:</w:t>
      </w:r>
    </w:p>
    <w:p>
      <w:pPr>
        <w:pStyle w:val="Compact"/>
        <w:numPr>
          <w:ilvl w:val="1"/>
          <w:numId w:val="1022"/>
        </w:numPr>
      </w:pPr>
      <w:r>
        <w:rPr>
          <w:b/>
          <w:bCs/>
        </w:rPr>
        <w:t xml:space="preserve">Termin:</w:t>
      </w:r>
      <w:r>
        <w:t xml:space="preserve"> </w:t>
      </w:r>
      <w:r>
        <w:t xml:space="preserve">Należy to zrobić niezwłocznie. Złożenie pozwu przerywa bieg przedawnienia i inicjuje postępowanie sądowe. Wniosek o zabezpieczenie jest kluczowy w obecnej sytuacji, aby uniemożliwić dalsze dysponowanie środkami.</w:t>
      </w:r>
    </w:p>
    <w:p>
      <w:pPr>
        <w:pStyle w:val="Compact"/>
        <w:numPr>
          <w:ilvl w:val="1"/>
          <w:numId w:val="1022"/>
        </w:numPr>
      </w:pPr>
      <w:r>
        <w:rPr>
          <w:b/>
          <w:bCs/>
        </w:rPr>
        <w:t xml:space="preserve">Czynności:</w:t>
      </w:r>
    </w:p>
    <w:p>
      <w:pPr>
        <w:pStyle w:val="Compact"/>
        <w:numPr>
          <w:ilvl w:val="2"/>
          <w:numId w:val="1023"/>
        </w:numPr>
      </w:pPr>
      <w:r>
        <w:t xml:space="preserve">Upewnić się co do dokładnego adresu B. S.A. i jego numeru KRS (brak w kazusie).</w:t>
      </w:r>
    </w:p>
    <w:p>
      <w:pPr>
        <w:pStyle w:val="Compact"/>
        <w:numPr>
          <w:ilvl w:val="2"/>
          <w:numId w:val="1023"/>
        </w:numPr>
      </w:pPr>
      <w:r>
        <w:t xml:space="preserve">Ustalić numer rachunku powierniczego z umowy deweloperskiej.</w:t>
      </w:r>
    </w:p>
    <w:p>
      <w:pPr>
        <w:pStyle w:val="Compact"/>
        <w:numPr>
          <w:ilvl w:val="2"/>
          <w:numId w:val="1023"/>
        </w:numPr>
      </w:pPr>
      <w:r>
        <w:t xml:space="preserve">Przygotować wszystkie wskazane dowody (oryginały do wglądu, kopie do akt sprawy).</w:t>
      </w:r>
    </w:p>
    <w:p>
      <w:pPr>
        <w:pStyle w:val="Compact"/>
        <w:numPr>
          <w:ilvl w:val="2"/>
          <w:numId w:val="1023"/>
        </w:numPr>
      </w:pPr>
      <w:r>
        <w:t xml:space="preserve">Uregulować opłatę sądową od pozwu (3 100,00 zł) oraz opłatę od wniosku o zabezpieczenie (775,00 zł).</w:t>
      </w:r>
    </w:p>
    <w:p>
      <w:pPr>
        <w:pStyle w:val="Compact"/>
        <w:numPr>
          <w:ilvl w:val="2"/>
          <w:numId w:val="1023"/>
        </w:numPr>
      </w:pPr>
      <w:r>
        <w:t xml:space="preserve">Złożyć oba pisma (pozew i wniosek o zabezpieczenie) w biurze podawczym właściwego Sądu Rejonowego lub wysłać listem poleconym.</w:t>
      </w:r>
    </w:p>
    <w:p>
      <w:pPr>
        <w:pStyle w:val="Compact"/>
        <w:numPr>
          <w:ilvl w:val="0"/>
          <w:numId w:val="1021"/>
        </w:numPr>
      </w:pPr>
      <w:r>
        <w:rPr>
          <w:b/>
          <w:bCs/>
        </w:rPr>
        <w:t xml:space="preserve">Monitorowanie postępowania sądowego:</w:t>
      </w:r>
    </w:p>
    <w:p>
      <w:pPr>
        <w:pStyle w:val="Compact"/>
        <w:numPr>
          <w:ilvl w:val="1"/>
          <w:numId w:val="1024"/>
        </w:numPr>
      </w:pPr>
      <w:r>
        <w:rPr>
          <w:b/>
          <w:bCs/>
        </w:rPr>
        <w:t xml:space="preserve">Termin:</w:t>
      </w:r>
      <w:r>
        <w:t xml:space="preserve"> </w:t>
      </w:r>
      <w:r>
        <w:t xml:space="preserve">Bieżące, po złożeniu pism.</w:t>
      </w:r>
    </w:p>
    <w:p>
      <w:pPr>
        <w:pStyle w:val="Compact"/>
        <w:numPr>
          <w:ilvl w:val="1"/>
          <w:numId w:val="1024"/>
        </w:numPr>
      </w:pPr>
      <w:r>
        <w:rPr>
          <w:b/>
          <w:bCs/>
        </w:rPr>
        <w:t xml:space="preserve">Czynności:</w:t>
      </w:r>
      <w:r>
        <w:t xml:space="preserve"> </w:t>
      </w:r>
      <w:r>
        <w:t xml:space="preserve">Oczekiwanie na doręczenie przez sąd postanowienia w przedmiocie zabezpieczenia (powinno nastąpić szybko), a następnie na doręczenie odpowiedzi na pozew od pozwanych. Przygotowanie się na ewentualne kolejne pisma procesowe i posiedzenia sądowe.</w:t>
      </w:r>
    </w:p>
    <w:p>
      <w:pPr>
        <w:pStyle w:val="Compact"/>
        <w:numPr>
          <w:ilvl w:val="0"/>
          <w:numId w:val="1021"/>
        </w:numPr>
      </w:pPr>
      <w:r>
        <w:t xml:space="preserve">**Złożenie skargi do KNF i UOKiK:</w:t>
      </w:r>
    </w:p>
    <w:p>
      <w:pPr>
        <w:pStyle w:val="Compact"/>
        <w:numPr>
          <w:ilvl w:val="1"/>
          <w:numId w:val="1025"/>
        </w:numPr>
      </w:pPr>
      <w:r>
        <w:rPr>
          <w:b/>
          <w:bCs/>
        </w:rPr>
        <w:t xml:space="preserve">Termin:</w:t>
      </w:r>
      <w:r>
        <w:t xml:space="preserve"> </w:t>
      </w:r>
      <w:r>
        <w:t xml:space="preserve">Równolegle ze złożeniem pozwu lub niezwłocznie po nim.</w:t>
      </w:r>
    </w:p>
    <w:p>
      <w:pPr>
        <w:pStyle w:val="Compact"/>
        <w:numPr>
          <w:ilvl w:val="1"/>
          <w:numId w:val="1025"/>
        </w:numPr>
      </w:pPr>
      <w:r>
        <w:rPr>
          <w:b/>
          <w:bCs/>
        </w:rPr>
        <w:t xml:space="preserve">Czynności:</w:t>
      </w:r>
    </w:p>
    <w:p>
      <w:pPr>
        <w:pStyle w:val="Compact"/>
        <w:numPr>
          <w:ilvl w:val="2"/>
          <w:numId w:val="1026"/>
        </w:numPr>
      </w:pPr>
      <w:r>
        <w:t xml:space="preserve">Sporządzić i złożyć skargę do Komisji Nadzoru Finansowego (KNF) na działania B. S.A.</w:t>
      </w:r>
    </w:p>
    <w:p>
      <w:pPr>
        <w:pStyle w:val="Compact"/>
        <w:numPr>
          <w:ilvl w:val="2"/>
          <w:numId w:val="1026"/>
        </w:numPr>
      </w:pPr>
      <w:r>
        <w:t xml:space="preserve">Sporządzić i złożyć zawiadomienie do Urzędu Ochrony Konkurencji i Konsumentów (UOKiK) dotyczące działań D. sp. z o.o.a D. sp. z o.o. oraz ewentualnych praktyk naruszających zbiorowe interesy konsumentów przez B. S.A.</w:t>
      </w:r>
    </w:p>
    <w:p>
      <w:pPr>
        <w:pStyle w:val="Compact"/>
        <w:numPr>
          <w:ilvl w:val="2"/>
          <w:numId w:val="1026"/>
        </w:numPr>
      </w:pPr>
      <w:r>
        <w:t xml:space="preserve">Zbierać i zabezpieczać wszelką korespondencję z KNF i UOKiK.</w:t>
      </w:r>
    </w:p>
    <w:p>
      <w:pPr>
        <w:pStyle w:val="Compact"/>
        <w:numPr>
          <w:ilvl w:val="0"/>
          <w:numId w:val="1021"/>
        </w:numPr>
      </w:pPr>
      <w:r>
        <w:rPr>
          <w:b/>
          <w:bCs/>
        </w:rPr>
        <w:t xml:space="preserve">Zabezpieczenie dodatkowych dokumentów:</w:t>
      </w:r>
    </w:p>
    <w:p>
      <w:pPr>
        <w:pStyle w:val="Compact"/>
        <w:numPr>
          <w:ilvl w:val="1"/>
          <w:numId w:val="1027"/>
        </w:numPr>
      </w:pPr>
      <w:r>
        <w:rPr>
          <w:b/>
          <w:bCs/>
        </w:rPr>
        <w:t xml:space="preserve">Termin:</w:t>
      </w:r>
      <w:r>
        <w:t xml:space="preserve"> </w:t>
      </w:r>
      <w:r>
        <w:t xml:space="preserve">Jak najszybciej.</w:t>
      </w:r>
    </w:p>
    <w:p>
      <w:pPr>
        <w:pStyle w:val="Compact"/>
        <w:numPr>
          <w:ilvl w:val="1"/>
          <w:numId w:val="1027"/>
        </w:numPr>
      </w:pPr>
      <w:r>
        <w:rPr>
          <w:b/>
          <w:bCs/>
        </w:rPr>
        <w:t xml:space="preserve">Czynności:</w:t>
      </w:r>
      <w:r>
        <w:t xml:space="preserve"> </w:t>
      </w:r>
      <w:r>
        <w:t xml:space="preserve">Przed złożeniem pozwu, A. N. może wysłać oficjalne wezwanie do B. S.A. i D. sp. z o.o.a D. sp. z o.o. z żądaniem udostępnienia umowy kredytowej KRD/████/████ oraz dokumentów zabezpieczeń, a także pełnej dokumentacji dotyczącej rachunku powierniczego i postępów budowy. Uzasadnić to potrzebą pełnej wiedzy o sprawie przed podjęciem dalszych kroków prawnych. To zwiększy szanse na polubowne rozwiązanie lub wzmocni argumentację w sądzie.</w:t>
      </w:r>
    </w:p>
    <w:p>
      <w:pPr>
        <w:pStyle w:val="Compact"/>
        <w:numPr>
          <w:ilvl w:val="0"/>
          <w:numId w:val="1021"/>
        </w:numPr>
      </w:pPr>
      <w:r>
        <w:rPr>
          <w:b/>
          <w:bCs/>
        </w:rPr>
        <w:t xml:space="preserve">Rozważenie mediacji:</w:t>
      </w:r>
    </w:p>
    <w:p>
      <w:pPr>
        <w:pStyle w:val="Compact"/>
        <w:numPr>
          <w:ilvl w:val="1"/>
          <w:numId w:val="1028"/>
        </w:numPr>
      </w:pPr>
      <w:r>
        <w:rPr>
          <w:b/>
          <w:bCs/>
        </w:rPr>
        <w:t xml:space="preserve">Termin:</w:t>
      </w:r>
      <w:r>
        <w:t xml:space="preserve"> </w:t>
      </w:r>
      <w:r>
        <w:t xml:space="preserve">Można zaproponować mediację na dowolnym etapie postępowania, nawet po złożeniu pozwu.</w:t>
      </w:r>
    </w:p>
    <w:p>
      <w:pPr>
        <w:pStyle w:val="Compact"/>
        <w:numPr>
          <w:ilvl w:val="1"/>
          <w:numId w:val="1028"/>
        </w:numPr>
      </w:pPr>
      <w:r>
        <w:rPr>
          <w:b/>
          <w:bCs/>
        </w:rPr>
        <w:t xml:space="preserve">Czynności:</w:t>
      </w:r>
      <w:r>
        <w:t xml:space="preserve"> </w:t>
      </w:r>
      <w:r>
        <w:t xml:space="preserve">Jeśli Pozwani wyrażą chęć polubownego rozwiązania sporu, należy rozważyć skorzystanie z mediacji sądowej lub pozasądowej.</w:t>
      </w:r>
    </w:p>
    <w:bookmarkEnd w:id="26"/>
    <w:bookmarkStart w:id="27" w:name="rekomendowane-pisma"/>
    <w:p>
      <w:pPr>
        <w:pStyle w:val="Heading2"/>
      </w:pPr>
      <w:r>
        <w:t xml:space="preserve">Rekomendowane pisma</w:t>
      </w:r>
    </w:p>
    <w:p>
      <w:pPr>
        <w:pStyle w:val="Compact"/>
        <w:numPr>
          <w:ilvl w:val="0"/>
          <w:numId w:val="1029"/>
        </w:numPr>
      </w:pPr>
      <w:r>
        <w:t xml:space="preserve">Projekt pozwu o zapłatę wraz z wnioskiem o zabezpieczenie roszczenia (opisany powyżej).</w:t>
      </w:r>
    </w:p>
    <w:p>
      <w:pPr>
        <w:pStyle w:val="Compact"/>
        <w:numPr>
          <w:ilvl w:val="0"/>
          <w:numId w:val="1029"/>
        </w:numPr>
      </w:pPr>
      <w:r>
        <w:t xml:space="preserve">Projekt pisma do KNF (skarga na B. S.A.).</w:t>
      </w:r>
    </w:p>
    <w:p>
      <w:pPr>
        <w:pStyle w:val="Compact"/>
        <w:numPr>
          <w:ilvl w:val="0"/>
          <w:numId w:val="1029"/>
        </w:numPr>
      </w:pPr>
      <w:r>
        <w:t xml:space="preserve">Projekt pisma do UOKiK (zawiadomienie o praktykach naruszających prawa konsumentów).</w:t>
      </w:r>
    </w:p>
    <w:p>
      <w:pPr>
        <w:pStyle w:val="Compact"/>
        <w:numPr>
          <w:ilvl w:val="0"/>
          <w:numId w:val="1029"/>
        </w:numPr>
      </w:pPr>
      <w:r>
        <w:t xml:space="preserve">Projekt pisma (wezwanie przedprocesowe) do B. S.A. i D. sp. z o.o. o udostępnienie dokumentów.</w:t>
      </w:r>
    </w:p>
    <w:p>
      <w:pPr>
        <w:pStyle w:val="FirstParagraph"/>
      </w:pPr>
      <w:r>
        <w:t xml:space="preserve">[[PROPOSE_DOC: Pozew o zapłatę]]</w:t>
      </w:r>
      <w:r>
        <w:t xml:space="preserve"> </w:t>
      </w:r>
      <w:r>
        <w:t xml:space="preserve">[[PROPOSE_DOC: Wniosek o zabezpieczenie roszczenia]]</w:t>
      </w:r>
      <w:r>
        <w:t xml:space="preserve"> </w:t>
      </w:r>
      <w:r>
        <w:t xml:space="preserve">[[PROPOSE_DOC: Skarga do Komisji Nadzoru Finansowego]]</w:t>
      </w:r>
    </w:p>
    <w:p>
      <w:r>
        <w:pict>
          <v:rect style="width:0;height:1.5pt" o:hralign="center" o:hrstd="t" o:hr="t"/>
        </w:pict>
      </w:r>
    </w:p>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2026-10-05T19:14:20Z</dcterms:created>
  <dcterms:modified xsi:type="dcterms:W3CDTF">2026-10-05T19:14:20Z</dcterms:modified>
</cp:coreProperties>
</file>

<file path=docProps/custom.xml><?xml version="1.0" encoding="utf-8"?>
<Properties xmlns="http://schemas.openxmlformats.org/officeDocument/2006/custom-properties" xmlns:vt="http://schemas.openxmlformats.org/officeDocument/2006/docPropsVTypes"/>
</file>