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9" w:name="sprawa-049-rozwiązanie-casebox"/>
    <w:p>
      <w:pPr>
        <w:pStyle w:val="Heading1"/>
      </w:pPr>
      <w:r>
        <w:t xml:space="preserve">Sprawa 049 — rozwiązanie CaseBox</w:t>
      </w:r>
    </w:p>
    <w:bookmarkStart w:id="9" w:name="część-ii.-rozwiązanie-case-project-api"/>
    <w:p>
      <w:pPr>
        <w:pStyle w:val="Heading2"/>
      </w:pPr>
      <w:r>
        <w:t xml:space="preserve">CZĘŚĆ II. ROZWIĄZANIE (Case Project API)</w:t>
      </w:r>
    </w:p>
    <w:bookmarkEnd w:id="9"/>
    <w:bookmarkStart w:id="10" w:name="podsumowanie-sprawy"/>
    <w:p>
      <w:pPr>
        <w:pStyle w:val="Heading2"/>
      </w:pPr>
      <w:r>
        <w:t xml:space="preserve">Podsumowanie sprawy</w:t>
      </w:r>
    </w:p>
    <w:p>
      <w:pPr>
        <w:pStyle w:val="FirstParagraph"/>
      </w:pPr>
      <w:r>
        <w:t xml:space="preserve">Sprawa dotyczy roszczeń M. K. (Nabywcy) wobec dewelopera DEWBUD S.A. w związku z wadami fizycznymi nabytego lokalu mieszkalnego, ujawnionymi podczas odbioru i w okresie późniejszym. M. K. zgłosił 12 usterek w protokole odbioru z dnia 18.10.2024 r., z czego część nie została skutecznie usunięta przez dewelopera, a kluczowe wady (przecieki instalacji grzewczej, nieszczelne drzwi balkonowe) powracały. W związku z tym M. K. zlecił pilne naprawy hydrauliczne podmiotowi zewnętrznemu, ponosząc koszt 3 500,00 zł netto. DEWBUD S.A. odmówił zwrotu kosztów tych napraw oraz obniżenia ceny, powołując się na postanowienia umowy deweloperskiej. M. K. domaga się stwierdzenia odpowiedzialności dewelopera, zwrotu kosztów napraw, obniżenia ceny zakupu lokalu o 15% (63 000,00 zł) oraz pokrycia kosztów przyszłej ekspertyzy rzeczoznawcy budowlanego. Niniejsze rozwiązanie ma na celu kompleksową analizę prawną i przygotowanie strategii działania.</w:t>
      </w:r>
    </w:p>
    <w:bookmarkEnd w:id="10"/>
    <w:bookmarkStart w:id="11" w:name="kluczowe-dane"/>
    <w:p>
      <w:pPr>
        <w:pStyle w:val="Heading2"/>
      </w:pPr>
      <w:r>
        <w:t xml:space="preserve">Kluczowe dane</w:t>
      </w:r>
    </w:p>
    <w:p>
      <w:pPr>
        <w:pStyle w:val="Compact"/>
        <w:numPr>
          <w:ilvl w:val="0"/>
          <w:numId w:val="1001"/>
        </w:numPr>
      </w:pPr>
      <w:r>
        <w:rPr>
          <w:b/>
          <w:bCs/>
        </w:rPr>
        <w:t xml:space="preserve">M. K.:</w:t>
      </w:r>
      <w:r>
        <w:t xml:space="preserve"> </w:t>
      </w:r>
      <w:r>
        <w:t xml:space="preserve">M. K. [Źródło 1]</w:t>
      </w:r>
    </w:p>
    <w:p>
      <w:pPr>
        <w:pStyle w:val="Compact"/>
        <w:numPr>
          <w:ilvl w:val="1"/>
          <w:numId w:val="1002"/>
        </w:numPr>
      </w:pPr>
      <w:r>
        <w:t xml:space="preserve">PESEL: PESEL ███████████ [Źródło 1]</w:t>
      </w:r>
    </w:p>
    <w:p>
      <w:pPr>
        <w:pStyle w:val="Compact"/>
        <w:numPr>
          <w:ilvl w:val="1"/>
          <w:numId w:val="1002"/>
        </w:numPr>
      </w:pPr>
      <w:r>
        <w:t xml:space="preserve">Adres: Warszawa [Źródło 1]</w:t>
      </w:r>
    </w:p>
    <w:p>
      <w:pPr>
        <w:pStyle w:val="Compact"/>
        <w:numPr>
          <w:ilvl w:val="0"/>
          <w:numId w:val="1001"/>
        </w:numPr>
      </w:pPr>
      <w:r>
        <w:rPr>
          <w:b/>
          <w:bCs/>
        </w:rPr>
        <w:t xml:space="preserve">DEWBUD S.A.:</w:t>
      </w:r>
      <w:r>
        <w:t xml:space="preserve"> </w:t>
      </w:r>
      <w:r>
        <w:t xml:space="preserve">DEWBUD S.A. [Źródło 1]</w:t>
      </w:r>
    </w:p>
    <w:p>
      <w:pPr>
        <w:pStyle w:val="Compact"/>
        <w:numPr>
          <w:ilvl w:val="1"/>
          <w:numId w:val="1003"/>
        </w:numPr>
      </w:pPr>
      <w:r>
        <w:t xml:space="preserve">KRS: KRS ██████████ [Źródło 1]</w:t>
      </w:r>
    </w:p>
    <w:p>
      <w:pPr>
        <w:pStyle w:val="Compact"/>
        <w:numPr>
          <w:ilvl w:val="1"/>
          <w:numId w:val="1003"/>
        </w:numPr>
      </w:pPr>
      <w:r>
        <w:t xml:space="preserve">Siedziba: Warszawa [Źródło 1]</w:t>
      </w:r>
    </w:p>
    <w:p>
      <w:pPr>
        <w:pStyle w:val="Compact"/>
        <w:numPr>
          <w:ilvl w:val="0"/>
          <w:numId w:val="1001"/>
        </w:numPr>
      </w:pPr>
      <w:r>
        <w:rPr>
          <w:b/>
          <w:bCs/>
        </w:rPr>
        <w:t xml:space="preserve">Umowa deweloperska:</w:t>
      </w:r>
      <w:r>
        <w:t xml:space="preserve"> </w:t>
      </w:r>
      <w:r>
        <w:t xml:space="preserve">nr UM/████/███/███, zawarta 12.05.2023 r. [Źródło 1]</w:t>
      </w:r>
    </w:p>
    <w:p>
      <w:pPr>
        <w:pStyle w:val="Compact"/>
        <w:numPr>
          <w:ilvl w:val="0"/>
          <w:numId w:val="1001"/>
        </w:numPr>
      </w:pPr>
      <w:r>
        <w:rPr>
          <w:b/>
          <w:bCs/>
        </w:rPr>
        <w:t xml:space="preserve">Cena zakupu lokalu:</w:t>
      </w:r>
      <w:r>
        <w:t xml:space="preserve"> </w:t>
      </w:r>
      <w:r>
        <w:t xml:space="preserve">420 000,00 zł [Źródło 1]</w:t>
      </w:r>
    </w:p>
    <w:p>
      <w:pPr>
        <w:pStyle w:val="Compact"/>
        <w:numPr>
          <w:ilvl w:val="0"/>
          <w:numId w:val="1001"/>
        </w:numPr>
      </w:pPr>
      <w:r>
        <w:rPr>
          <w:b/>
          <w:bCs/>
        </w:rPr>
        <w:t xml:space="preserve">Protokół odbioru lokalu:</w:t>
      </w:r>
      <w:r>
        <w:t xml:space="preserve"> </w:t>
      </w:r>
      <w:r>
        <w:t xml:space="preserve">nr PR/██/██.██.████, z dnia 18.10.2024 r., zawiera 12 zgłoszonych usterek [Źródło 1]</w:t>
      </w:r>
    </w:p>
    <w:p>
      <w:pPr>
        <w:pStyle w:val="Compact"/>
        <w:numPr>
          <w:ilvl w:val="0"/>
          <w:numId w:val="1001"/>
        </w:numPr>
      </w:pPr>
      <w:r>
        <w:rPr>
          <w:b/>
          <w:bCs/>
        </w:rPr>
        <w:t xml:space="preserve">Koszty napraw hydraulicznych:</w:t>
      </w:r>
      <w:r>
        <w:t xml:space="preserve"> </w:t>
      </w:r>
      <w:r>
        <w:t xml:space="preserve">3 500,00 zł netto [Źródło 1]</w:t>
      </w:r>
    </w:p>
    <w:p>
      <w:pPr>
        <w:pStyle w:val="Compact"/>
        <w:numPr>
          <w:ilvl w:val="1"/>
          <w:numId w:val="1004"/>
        </w:numPr>
      </w:pPr>
      <w:r>
        <w:t xml:space="preserve">Faktura: F/████/██/██/███ z dnia 05.03.2025 r. [Źródło 1]</w:t>
      </w:r>
    </w:p>
    <w:p>
      <w:pPr>
        <w:pStyle w:val="Compact"/>
        <w:numPr>
          <w:ilvl w:val="0"/>
          <w:numId w:val="1001"/>
        </w:numPr>
      </w:pPr>
      <w:r>
        <w:rPr>
          <w:b/>
          <w:bCs/>
        </w:rPr>
        <w:t xml:space="preserve">Pismo Nabywcy do dewelopera:</w:t>
      </w:r>
      <w:r>
        <w:t xml:space="preserve"> </w:t>
      </w:r>
      <w:r>
        <w:t xml:space="preserve">MK/████/██/██ z dnia 10.03.2025 r., z żądaniem usunięcia wad, obniżenia ceny i zwrotu kosztów napraw [Źródło 1]</w:t>
      </w:r>
    </w:p>
    <w:p>
      <w:pPr>
        <w:pStyle w:val="Compact"/>
        <w:numPr>
          <w:ilvl w:val="0"/>
          <w:numId w:val="1001"/>
        </w:numPr>
      </w:pPr>
      <w:r>
        <w:rPr>
          <w:b/>
          <w:bCs/>
        </w:rPr>
        <w:t xml:space="preserve">Żądana obniżka ceny:</w:t>
      </w:r>
      <w:r>
        <w:t xml:space="preserve"> </w:t>
      </w:r>
      <w:r>
        <w:t xml:space="preserve">15% (63 000,00 zł) [Źródło 1]</w:t>
      </w:r>
    </w:p>
    <w:p>
      <w:pPr>
        <w:pStyle w:val="Compact"/>
        <w:numPr>
          <w:ilvl w:val="0"/>
          <w:numId w:val="1001"/>
        </w:numPr>
      </w:pPr>
      <w:r>
        <w:rPr>
          <w:b/>
          <w:bCs/>
        </w:rPr>
        <w:t xml:space="preserve">Przewidywany koszt ekspertyzy rzeczoznawcy:</w:t>
      </w:r>
      <w:r>
        <w:t xml:space="preserve"> </w:t>
      </w:r>
      <w:r>
        <w:t xml:space="preserve">4 800,00 zł brutto [Źródło 1]</w:t>
      </w:r>
    </w:p>
    <w:p>
      <w:pPr>
        <w:pStyle w:val="Compact"/>
        <w:numPr>
          <w:ilvl w:val="0"/>
          <w:numId w:val="1001"/>
        </w:numPr>
      </w:pPr>
      <w:r>
        <w:rPr>
          <w:b/>
          <w:bCs/>
        </w:rPr>
        <w:t xml:space="preserve">Kluczowe postanowienia umowy kwestionowane przez dewelopera:</w:t>
      </w:r>
    </w:p>
    <w:p>
      <w:pPr>
        <w:pStyle w:val="Compact"/>
        <w:numPr>
          <w:ilvl w:val="1"/>
          <w:numId w:val="1005"/>
        </w:numPr>
      </w:pPr>
      <w:r>
        <w:t xml:space="preserve">§12 ust. 4 (zakaz samodzielnych napraw bez zgody dewelopera) [Źródło 1]</w:t>
      </w:r>
    </w:p>
    <w:p>
      <w:pPr>
        <w:pStyle w:val="Compact"/>
        <w:numPr>
          <w:ilvl w:val="1"/>
          <w:numId w:val="1005"/>
        </w:numPr>
      </w:pPr>
      <w:r>
        <w:t xml:space="preserve">§15 ust. 1 (skrócenie terminów przedawnienia roszczeń) [Źródło 1]</w:t>
      </w:r>
    </w:p>
    <w:bookmarkEnd w:id="11"/>
    <w:bookmarkStart w:id="18" w:name="opinia-prawna"/>
    <w:p>
      <w:pPr>
        <w:pStyle w:val="Heading2"/>
      </w:pPr>
      <w:r>
        <w:t xml:space="preserve">Opinia prawna</w:t>
      </w:r>
    </w:p>
    <w:bookmarkStart w:id="12" w:name="X6df48fed2c0b467b5f368f8893ad1df69127988"/>
    <w:p>
      <w:pPr>
        <w:pStyle w:val="Heading3"/>
      </w:pPr>
      <w:r>
        <w:t xml:space="preserve">I. Kwalifikacja prawna stanu faktycznego i zastosowanie przepisów</w:t>
      </w:r>
    </w:p>
    <w:p>
      <w:pPr>
        <w:pStyle w:val="FirstParagraph"/>
      </w:pPr>
      <w:r>
        <w:t xml:space="preserve">Stan faktyczny dotyczy wad fizycznych nieruchomości nabytej przez konsumenta (M. K.) od przedsiębiorcy (DEWBUD S.A.) w ramach umowy deweloperskiej [Źródło 1]. Mimo braku szczegółowych przepisów dotyczących rękojmi za wady w aktualnie dostępnym stanie prawnym, należy przyjąć, że roszczenia Nabywcy opierają się na instytucji rękojmi za wady fizyczne rzeczy sprzedanej, a także na zasadach ogólnych odpowiedzialności kontraktowej.</w:t>
      </w:r>
    </w:p>
    <w:p>
      <w:pPr>
        <w:pStyle w:val="Compact"/>
        <w:numPr>
          <w:ilvl w:val="0"/>
          <w:numId w:val="1006"/>
        </w:numPr>
      </w:pPr>
      <w:r>
        <w:rPr>
          <w:b/>
          <w:bCs/>
        </w:rPr>
        <w:t xml:space="preserve">Odpowiedzialność kontraktowa (nienależyte wykonanie umowy):</w:t>
      </w:r>
    </w:p>
    <w:p>
      <w:pPr>
        <w:pStyle w:val="Compact"/>
        <w:numPr>
          <w:ilvl w:val="1"/>
          <w:numId w:val="1007"/>
        </w:numPr>
      </w:pPr>
      <w:r>
        <w:t xml:space="preserve">DEWBUD S.A. jako sprzedawca jest odpowiedzialny za wady fizyczne rzeczy sprzedanej. Nieskuteczne usunięcie wad, a także odmowa zwrotu kosztów pilnych napraw zleconych przez Nabywcę, stanowi nienależyte wykonanie umowy. Podstawą prawną roszczeń odszkodowawczych w takim przypadku jest art. 471 Kodeksu cywilnego. Zgodnie z orzeczeniem Sądu powszechnego z 23 grudnia 2019 r. (I C 218/19), art. 471 k.c. może stanowić podstawę roszczeń o naprawienie szkody poniesionej w wyniku nienależytego wykonania umowy, gdzie szkoda polega na różnicy między wartością wpłaconych a wypłaconych kwot [1]. W niniejszej sprawie szkodą tą są koszty poniesione na naprawy (3 500,00 zł netto) [Źródło 1].</w:t>
      </w:r>
    </w:p>
    <w:p>
      <w:pPr>
        <w:pStyle w:val="Compact"/>
        <w:numPr>
          <w:ilvl w:val="1"/>
          <w:numId w:val="1007"/>
        </w:numPr>
      </w:pPr>
      <w:r>
        <w:t xml:space="preserve">M. K. ma prawo żądać usunięcia wad lub obniżenia ceny, jeżeli wady mają charakter istotny i ograniczają możliwość użytkowania lokalu [Źródło 1].</w:t>
      </w:r>
    </w:p>
    <w:p>
      <w:pPr>
        <w:pStyle w:val="Compact"/>
        <w:numPr>
          <w:ilvl w:val="0"/>
          <w:numId w:val="1006"/>
        </w:numPr>
      </w:pPr>
      <w:r>
        <w:rPr>
          <w:b/>
          <w:bCs/>
        </w:rPr>
        <w:t xml:space="preserve">Odpowiedzialność deliktowa (czyn niedozwolony):</w:t>
      </w:r>
    </w:p>
    <w:p>
      <w:pPr>
        <w:pStyle w:val="Compact"/>
        <w:numPr>
          <w:ilvl w:val="1"/>
          <w:numId w:val="1008"/>
        </w:numPr>
      </w:pPr>
      <w:r>
        <w:t xml:space="preserve">Ewentualnie, jeśli deweloper celowo zataił informacje o wadach lub wprowadził Nabywcę w błąd co do stanu lokalu, mogłoby to stanowić podstawę odpowiedzialności deliktowej na podstawie art. 415 Kodeksu cywilnego [1]. Jest to jednak trudniejsze do udowodnienia i w niniejszej sprawie skupiamy się na odpowiedzialności kontraktowej.</w:t>
      </w:r>
    </w:p>
    <w:p>
      <w:pPr>
        <w:pStyle w:val="Compact"/>
        <w:numPr>
          <w:ilvl w:val="0"/>
          <w:numId w:val="1006"/>
        </w:numPr>
      </w:pPr>
      <w:r>
        <w:rPr>
          <w:b/>
          <w:bCs/>
        </w:rPr>
        <w:t xml:space="preserve">Brak przepisów w aktualnym stanie prawnym:</w:t>
      </w:r>
    </w:p>
    <w:p>
      <w:pPr>
        <w:pStyle w:val="Compact"/>
        <w:numPr>
          <w:ilvl w:val="1"/>
          <w:numId w:val="1009"/>
        </w:numPr>
      </w:pPr>
      <w:r>
        <w:t xml:space="preserve">Należy zaznaczyć, że w aktualnie dostępnym bloku</w:t>
      </w:r>
      <w:r>
        <w:t xml:space="preserve"> </w:t>
      </w:r>
      <w:r>
        <w:t xml:space="preserve">“Obecny stan prawny”</w:t>
      </w:r>
      <w:r>
        <w:t xml:space="preserve"> </w:t>
      </w:r>
      <w:r>
        <w:t xml:space="preserve">brak jest szczegółowych przepisów Kodeksu cywilnego dotyczących rękojmi za wady (m.in. art. 556-576 k.c.), które precyzują prawa konsumenta w takich sytuacjach. W związku z tym, analiza opiera się na ogólnych zasadach prawa zobowiązań i orzecznictwa, które wskazuje na możliwość dochodzenia roszczeń odszkodowawczych w przypadku nienależytego wykonania umowy [1].</w:t>
      </w:r>
    </w:p>
    <w:bookmarkEnd w:id="12"/>
    <w:bookmarkStart w:id="13" w:name="X5c57810fbe812ce87733b8d28e77d33a429c31e"/>
    <w:p>
      <w:pPr>
        <w:pStyle w:val="Heading3"/>
      </w:pPr>
      <w:r>
        <w:t xml:space="preserve">II. Ocena ważności/skuteczności kluczowych postanowień umowy i czynności stron</w:t>
      </w:r>
    </w:p>
    <w:p>
      <w:pPr>
        <w:pStyle w:val="Compact"/>
        <w:numPr>
          <w:ilvl w:val="0"/>
          <w:numId w:val="1010"/>
        </w:numPr>
      </w:pPr>
      <w:r>
        <w:rPr>
          <w:b/>
          <w:bCs/>
        </w:rPr>
        <w:t xml:space="preserve">§12 ust. 4 umowy (zakaz samodzielnych napraw bez zgody dewelopera):</w:t>
      </w:r>
    </w:p>
    <w:p>
      <w:pPr>
        <w:pStyle w:val="Compact"/>
        <w:numPr>
          <w:ilvl w:val="1"/>
          <w:numId w:val="1011"/>
        </w:numPr>
      </w:pPr>
      <w:r>
        <w:t xml:space="preserve">Należy uznać, że klauzula ta jest najprawdopodobniej nieskuteczna w kontekście uprawnień konsumenta z tytułu rękojmi, w sytuacji gdy deweloper nie wywiązał się ze swoich obowiązków. Zgodnie z ogólnymi zasadami prawa cywilnego, w przypadku nienależytego wykonania zobowiązania przez dłużnika (tu: dewelopera), wierzyciel (tu: M. K.) ma prawo do żądania naprawienia szkody, co obejmuje także koszty wykonania zastępczego (napraw przez osobę trzecią), zwłaszcza gdy naprawy są pilne, a deweloper nie reaguje skutecznie w wyznaczonym terminie [Źródło 1]. Interpretacja tej klauzuli w sposób bezwzględny, który uniemożliwiałby Nabywcy zabezpieczenie swojego interesu (użyteczności lokalu) w obliczu bierności lub nieskuteczności dewelopera, mogłaby być uznana za sprzeczną z dobrymi obyczajami lub rażąco naruszającą interesy konsumenta.</w:t>
      </w:r>
    </w:p>
    <w:p>
      <w:pPr>
        <w:pStyle w:val="Compact"/>
        <w:numPr>
          <w:ilvl w:val="0"/>
          <w:numId w:val="1010"/>
        </w:numPr>
      </w:pPr>
      <w:r>
        <w:rPr>
          <w:b/>
          <w:bCs/>
        </w:rPr>
        <w:t xml:space="preserve">§15 ust. 1 umowy (skrócenie terminów przedawnienia roszczeń):</w:t>
      </w:r>
    </w:p>
    <w:p>
      <w:pPr>
        <w:pStyle w:val="Compact"/>
        <w:numPr>
          <w:ilvl w:val="1"/>
          <w:numId w:val="1012"/>
        </w:numPr>
      </w:pPr>
      <w:r>
        <w:t xml:space="preserve">Dla umów zawieranych z udziałem konsumentów, postanowienia umowne skracające lub wyłączające terminy przedawnienia roszczeń z rękojmi są co do zasady niedozwolone i bezskuteczne. Jako że M. K. jest konsumentem, klauzula ta jest prawdopodobnie nieważna, a deweloper nie może skutecznie powoływać się na skrócenie terminów przedawnienia [Źródło 1]. Orzeczenie [1] wspomina o zarzucie przedawnienia, co potwierdza jego istotność w sporach, ale nie rozstrzyga o jego zasadności w konkretnych warunkach.</w:t>
      </w:r>
    </w:p>
    <w:p>
      <w:pPr>
        <w:pStyle w:val="Compact"/>
        <w:numPr>
          <w:ilvl w:val="0"/>
          <w:numId w:val="1010"/>
        </w:numPr>
      </w:pPr>
      <w:r>
        <w:rPr>
          <w:b/>
          <w:bCs/>
        </w:rPr>
        <w:t xml:space="preserve">Czynności stron:</w:t>
      </w:r>
    </w:p>
    <w:p>
      <w:pPr>
        <w:pStyle w:val="Compact"/>
        <w:numPr>
          <w:ilvl w:val="1"/>
          <w:numId w:val="1013"/>
        </w:numPr>
      </w:pPr>
      <w:r>
        <w:t xml:space="preserve">Zgłoszenie wad w protokole odbioru jest prawidłową czynnością Nabywcy [Źródło 1].</w:t>
      </w:r>
    </w:p>
    <w:p>
      <w:pPr>
        <w:pStyle w:val="Compact"/>
        <w:numPr>
          <w:ilvl w:val="1"/>
          <w:numId w:val="1013"/>
        </w:numPr>
      </w:pPr>
      <w:r>
        <w:t xml:space="preserve">Udzielenie deweloperowi terminu na usunięcie wad również jest zgodne z praktyką [Źródło 1].</w:t>
      </w:r>
    </w:p>
    <w:p>
      <w:pPr>
        <w:pStyle w:val="Compact"/>
        <w:numPr>
          <w:ilvl w:val="1"/>
          <w:numId w:val="1013"/>
        </w:numPr>
      </w:pPr>
      <w:r>
        <w:t xml:space="preserve">Pilne zlecenie napraw innemu podmiotowi w sytuacji, gdy wady (przecieki instalacji grzewczej) stanowiły zagrożenie lub uniemożliwiały normalne użytkowanie lokalu, było uzasadnione.</w:t>
      </w:r>
    </w:p>
    <w:bookmarkEnd w:id="13"/>
    <w:bookmarkStart w:id="14" w:name="X3f2972ae3ed65ba3b7a19962461db52bd70398d"/>
    <w:p>
      <w:pPr>
        <w:pStyle w:val="Heading3"/>
      </w:pPr>
      <w:r>
        <w:t xml:space="preserve">III. Odpowiedź na wszystkie zagadnienia z części III kazusu (punkt po punkcie)</w:t>
      </w:r>
    </w:p>
    <w:p>
      <w:pPr>
        <w:pStyle w:val="Compact"/>
        <w:numPr>
          <w:ilvl w:val="0"/>
          <w:numId w:val="1014"/>
        </w:numPr>
      </w:pPr>
      <w:r>
        <w:rPr>
          <w:b/>
          <w:bCs/>
        </w:rPr>
        <w:t xml:space="preserve">Stwierdzenie odpowiedzialności dewelopera za wady lokalu:</w:t>
      </w:r>
    </w:p>
    <w:p>
      <w:pPr>
        <w:pStyle w:val="Compact"/>
        <w:numPr>
          <w:ilvl w:val="1"/>
          <w:numId w:val="1015"/>
        </w:numPr>
      </w:pPr>
      <w:r>
        <w:rPr>
          <w:b/>
          <w:bCs/>
        </w:rPr>
        <w:t xml:space="preserve">Rozstrzygnięcie:</w:t>
      </w:r>
      <w:r>
        <w:t xml:space="preserve"> </w:t>
      </w:r>
      <w:r>
        <w:t xml:space="preserve">Tak, deweloper ponosi odpowiedzialność za wady lokalu.</w:t>
      </w:r>
    </w:p>
    <w:p>
      <w:pPr>
        <w:pStyle w:val="Compact"/>
        <w:numPr>
          <w:ilvl w:val="1"/>
          <w:numId w:val="1015"/>
        </w:numPr>
      </w:pPr>
      <w:r>
        <w:rPr>
          <w:b/>
          <w:bCs/>
        </w:rPr>
        <w:t xml:space="preserve">Uzasadnienie:</w:t>
      </w:r>
      <w:r>
        <w:t xml:space="preserve"> </w:t>
      </w:r>
      <w:r>
        <w:t xml:space="preserve">Wady zostały stwierdzone i udokumentowane w protokole odbioru z 18.10.2024 r. [Źródło 1]. DEWBUD S.A., zobowiązując się do ich usunięcia w 30 dni, potwierdził ich istnienie i swoją odpowiedzialność [Źródło 1]. Nieskuteczne usunięcie wad i ich powracający charakter (przeciekająca instalacja grzewcza, nieszczelne drzwi balkonowe) stanowią nienależyte wykonanie umowy, co uzasadnia odpowiedzialność dewelopera na podstawie art. 471 k.c. [1] oraz z tytułu rękojmi.</w:t>
      </w:r>
    </w:p>
    <w:p>
      <w:pPr>
        <w:pStyle w:val="Compact"/>
        <w:numPr>
          <w:ilvl w:val="0"/>
          <w:numId w:val="1014"/>
        </w:numPr>
      </w:pPr>
      <w:r>
        <w:rPr>
          <w:b/>
          <w:bCs/>
        </w:rPr>
        <w:t xml:space="preserve">Zwrot kosztów napraw wykonanych przez Nabywcę (3 500,00 zł netto):</w:t>
      </w:r>
    </w:p>
    <w:p>
      <w:pPr>
        <w:pStyle w:val="Compact"/>
        <w:numPr>
          <w:ilvl w:val="1"/>
          <w:numId w:val="1016"/>
        </w:numPr>
      </w:pPr>
      <w:r>
        <w:rPr>
          <w:b/>
          <w:bCs/>
        </w:rPr>
        <w:t xml:space="preserve">Rozstrzygnięcie:</w:t>
      </w:r>
      <w:r>
        <w:t xml:space="preserve"> </w:t>
      </w:r>
      <w:r>
        <w:t xml:space="preserve">Tak, M. K. ma prawo do zwrotu kosztów.</w:t>
      </w:r>
    </w:p>
    <w:p>
      <w:pPr>
        <w:pStyle w:val="Compact"/>
        <w:numPr>
          <w:ilvl w:val="1"/>
          <w:numId w:val="1016"/>
        </w:numPr>
      </w:pPr>
      <w:r>
        <w:rPr>
          <w:b/>
          <w:bCs/>
        </w:rPr>
        <w:t xml:space="preserve">Uzasadnienie:</w:t>
      </w:r>
      <w:r>
        <w:t xml:space="preserve"> </w:t>
      </w:r>
      <w:r>
        <w:t xml:space="preserve">Roszczenie o zwrot kosztów pilnych napraw (3 500,00 zł netto), udokumentowanych fakturą F/████/██/██/███ [Źródło 1], jest zasadne na podstawie art. 471 k.c. jako odszkodowanie za szkodę wynikłą z nienależytego wykonania umowy przez dewelopera. Argument dewelopera o zakazie samodzielnych napraw bez zgody (§12 ust. 4 umowy) jest prawdopodobnie bezskuteczny w obliczu wagi wad i braku skutecznej reakcji dewelopera. Priorytetem jest ochrona interesu Nabywcy i umożliwienie mu korzystania z lokalu wolnego od wad.</w:t>
      </w:r>
    </w:p>
    <w:p>
      <w:pPr>
        <w:pStyle w:val="Compact"/>
        <w:numPr>
          <w:ilvl w:val="0"/>
          <w:numId w:val="1014"/>
        </w:numPr>
      </w:pPr>
      <w:r>
        <w:rPr>
          <w:b/>
          <w:bCs/>
        </w:rPr>
        <w:t xml:space="preserve">Obniżenie ceny zakupu lokalu o 15% (63 000,00 zł) z uwagi na ograniczoną możliwość użytkowania:</w:t>
      </w:r>
    </w:p>
    <w:p>
      <w:pPr>
        <w:pStyle w:val="Compact"/>
        <w:numPr>
          <w:ilvl w:val="1"/>
          <w:numId w:val="1017"/>
        </w:numPr>
      </w:pPr>
      <w:r>
        <w:rPr>
          <w:b/>
          <w:bCs/>
        </w:rPr>
        <w:t xml:space="preserve">Rozstrzygnięcie:</w:t>
      </w:r>
      <w:r>
        <w:t xml:space="preserve"> </w:t>
      </w:r>
      <w:r>
        <w:t xml:space="preserve">Tak, roszczenie o obniżenie ceny jest zasadne.</w:t>
      </w:r>
    </w:p>
    <w:p>
      <w:pPr>
        <w:pStyle w:val="Compact"/>
        <w:numPr>
          <w:ilvl w:val="1"/>
          <w:numId w:val="1017"/>
        </w:numPr>
      </w:pPr>
      <w:r>
        <w:rPr>
          <w:b/>
          <w:bCs/>
        </w:rPr>
        <w:t xml:space="preserve">Uzasadnienie:</w:t>
      </w:r>
      <w:r>
        <w:t xml:space="preserve"> </w:t>
      </w:r>
      <w:r>
        <w:t xml:space="preserve">M. K. ma prawo do żądania obniżenia ceny z powodu wad fizycznych, które ograniczają możliwość użytkowania lokalu (np. przecieki, nieszczelności) [Źródło 1]. Kwota 63 000,00 zł stanowi 15% wartości nieruchomości, co wydaje się proporcjonalne do istotności i uciążliwości wad. Wysokość obniżenia ceny powinna odpowiadać relacji wartości rzeczy wolnej od wad do jej wartości z wadami. Konieczne będzie jednak udowodnienie tej proporcji, najlepiej poprzez ekspertyzę rzeczoznawcy budowlanego.</w:t>
      </w:r>
    </w:p>
    <w:p>
      <w:pPr>
        <w:pStyle w:val="Compact"/>
        <w:numPr>
          <w:ilvl w:val="0"/>
          <w:numId w:val="1014"/>
        </w:numPr>
      </w:pPr>
      <w:r>
        <w:rPr>
          <w:b/>
          <w:bCs/>
        </w:rPr>
        <w:t xml:space="preserve">Zabezpieczenie roszczeń (np. na rachunku powierniczym):</w:t>
      </w:r>
    </w:p>
    <w:p>
      <w:pPr>
        <w:pStyle w:val="Compact"/>
        <w:numPr>
          <w:ilvl w:val="1"/>
          <w:numId w:val="1018"/>
        </w:numPr>
      </w:pPr>
      <w:r>
        <w:rPr>
          <w:b/>
          <w:bCs/>
        </w:rPr>
        <w:t xml:space="preserve">Rozstrzygnięcie:</w:t>
      </w:r>
      <w:r>
        <w:t xml:space="preserve"> </w:t>
      </w:r>
      <w:r>
        <w:t xml:space="preserve">Tak, jest to wysoce rekomendowane.</w:t>
      </w:r>
    </w:p>
    <w:p>
      <w:pPr>
        <w:pStyle w:val="Compact"/>
        <w:numPr>
          <w:ilvl w:val="1"/>
          <w:numId w:val="1018"/>
        </w:numPr>
      </w:pPr>
      <w:r>
        <w:rPr>
          <w:b/>
          <w:bCs/>
        </w:rPr>
        <w:t xml:space="preserve">Uzasadnienie:</w:t>
      </w:r>
      <w:r>
        <w:t xml:space="preserve"> </w:t>
      </w:r>
      <w:r>
        <w:t xml:space="preserve">Zabezpieczenie roszczeń jest kluczowe w celu zagwarantowania ich realizacji, zwłaszcza wobec postawy dewelopera. Brak zabezpieczenia może prowadzić do trudności w egzekucji w przyszłości. Zgodnie z art. 730 i nast. k.p.c., wniosek o zabezpieczenie należy uprawdopodobnić. W tym przypadku uprawdopodobnieniem będzie istnienie wad, nieskuteczność działań dewelopera oraz uzasadniona obawa o zaspokojenie roszczeń (np. w oparciu o sytuację finansową dewelopera lub charakter wad). Sąd może udzielić zabezpieczenia poprzez zajęcie rachunków bankowych, ustanowienie hipoteki przymusowej, czy też, jeśli deweloper nadal dysponuje rachunkami powierniczymi dla innych inwestycji, poprzez zobowiązanie do złożenia środków na specjalny rachunek depozytowy (choć rachunek powierniczy dotyczy zazwyczaj bieżących wpłat nabywców, a nie zabezpieczenia roszczeń dewelopera). Alternatywnie, skuteczne będzie zabezpieczenie roszczenia pieniężnego poprzez zajęcie wierzytelności dewelopera (np. z rachunków bankowych).</w:t>
      </w:r>
    </w:p>
    <w:p>
      <w:pPr>
        <w:pStyle w:val="Compact"/>
        <w:numPr>
          <w:ilvl w:val="0"/>
          <w:numId w:val="1014"/>
        </w:numPr>
      </w:pPr>
      <w:r>
        <w:rPr>
          <w:b/>
          <w:bCs/>
        </w:rPr>
        <w:t xml:space="preserve">Pokrycie kosztów ekspertyzy rzeczoznawcy budowlanego (przewidywany koszt 4 800,00 zł brutto):</w:t>
      </w:r>
    </w:p>
    <w:p>
      <w:pPr>
        <w:pStyle w:val="Compact"/>
        <w:numPr>
          <w:ilvl w:val="1"/>
          <w:numId w:val="1019"/>
        </w:numPr>
      </w:pPr>
      <w:r>
        <w:rPr>
          <w:b/>
          <w:bCs/>
        </w:rPr>
        <w:t xml:space="preserve">Rozstrzygnięcie:</w:t>
      </w:r>
      <w:r>
        <w:t xml:space="preserve"> </w:t>
      </w:r>
      <w:r>
        <w:t xml:space="preserve">Tak, M. K. może dochodzić zwrotu tych kosztów.</w:t>
      </w:r>
    </w:p>
    <w:p>
      <w:pPr>
        <w:pStyle w:val="Compact"/>
        <w:numPr>
          <w:ilvl w:val="1"/>
          <w:numId w:val="1019"/>
        </w:numPr>
      </w:pPr>
      <w:r>
        <w:rPr>
          <w:b/>
          <w:bCs/>
        </w:rPr>
        <w:t xml:space="preserve">Uzasadnienie:</w:t>
      </w:r>
      <w:r>
        <w:t xml:space="preserve"> </w:t>
      </w:r>
      <w:r>
        <w:t xml:space="preserve">Koszt ekspertyzy rzeczoznawcy (4 800,00 zł brutto) [Źródło 1] może zostać wliczony do kosztów procesu i dochodzony od dewelopera jako strona przegrywająca. Ekspertyza ta jest niezbędna do prawidłowej kwantyfikacji roszczeń i udowodnienia istnienia oraz zakresu wad.</w:t>
      </w:r>
    </w:p>
    <w:p>
      <w:pPr>
        <w:pStyle w:val="Compact"/>
        <w:numPr>
          <w:ilvl w:val="0"/>
          <w:numId w:val="1014"/>
        </w:numPr>
      </w:pPr>
      <w:r>
        <w:rPr>
          <w:b/>
          <w:bCs/>
        </w:rPr>
        <w:t xml:space="preserve">Analiza terminu i przedawnienia oraz kwestie dowodowe:</w:t>
      </w:r>
    </w:p>
    <w:p>
      <w:pPr>
        <w:pStyle w:val="Compact"/>
        <w:numPr>
          <w:ilvl w:val="1"/>
          <w:numId w:val="1020"/>
        </w:numPr>
      </w:pPr>
      <w:r>
        <w:rPr>
          <w:b/>
          <w:bCs/>
        </w:rPr>
        <w:t xml:space="preserve">Termin i przedawnienie:</w:t>
      </w:r>
      <w:r>
        <w:t xml:space="preserve"> </w:t>
      </w:r>
      <w:r>
        <w:t xml:space="preserve">DEWBUD S.A. powołuje się na §15 ust. 1 umowy, skracający terminy przedawnienia roszczeń [Źródło 1]. Jak już wskazano, dla konsumenta takie postanowienia są co do zasady niedozwolone i bezskuteczne. Termin przedawnienia roszczeń z rękojmi dla nieruchomości wynosi 5 lat od dnia wydania rzeczy. Roszczenia o odszkodowanie przedawniają się z upływem 3 lat. Nabycie lokalu miało miejsce po 12.05.2023 r., a protokół odbioru 18.10.2024 r. [Źródło 1]. Biorąc pod uwagę datę pisma Nabywcy (10.03.2025 r.) [Źródło 1], roszczenia nie uległy przedawnieniu. Orzeczenie [1] przypomina o istotności zarzutu przedawnienia, ale w tym przypadku jego podniesienie przez dewelopera w oparciu o klauzulę umowną może być nieskuteczne.</w:t>
      </w:r>
    </w:p>
    <w:p>
      <w:pPr>
        <w:pStyle w:val="Compact"/>
        <w:numPr>
          <w:ilvl w:val="1"/>
          <w:numId w:val="1020"/>
        </w:numPr>
      </w:pPr>
      <w:r>
        <w:rPr>
          <w:b/>
          <w:bCs/>
        </w:rPr>
        <w:t xml:space="preserve">Kwestie dowodowe:</w:t>
      </w:r>
    </w:p>
    <w:p>
      <w:pPr>
        <w:pStyle w:val="Compact"/>
        <w:numPr>
          <w:ilvl w:val="2"/>
          <w:numId w:val="1021"/>
        </w:numPr>
      </w:pPr>
      <w:r>
        <w:rPr>
          <w:b/>
          <w:bCs/>
        </w:rPr>
        <w:t xml:space="preserve">Protokół odbioru lokalu:</w:t>
      </w:r>
      <w:r>
        <w:t xml:space="preserve"> </w:t>
      </w:r>
      <w:r>
        <w:t xml:space="preserve">Kluczowy dowód na istnienie wad i ich zgłoszenie [Źródło 1].</w:t>
      </w:r>
    </w:p>
    <w:p>
      <w:pPr>
        <w:pStyle w:val="Compact"/>
        <w:numPr>
          <w:ilvl w:val="2"/>
          <w:numId w:val="1021"/>
        </w:numPr>
      </w:pPr>
      <w:r>
        <w:rPr>
          <w:b/>
          <w:bCs/>
        </w:rPr>
        <w:t xml:space="preserve">Dokumentacja fotograficzna/wideo:</w:t>
      </w:r>
      <w:r>
        <w:t xml:space="preserve"> </w:t>
      </w:r>
      <w:r>
        <w:t xml:space="preserve">Niezbędna do udokumentowania stanu wad, ich powracania, a także okoliczności samodzielnych napraw. Należy zadbać o jak najszerszą dokumentację.</w:t>
      </w:r>
    </w:p>
    <w:p>
      <w:pPr>
        <w:pStyle w:val="Compact"/>
        <w:numPr>
          <w:ilvl w:val="2"/>
          <w:numId w:val="1021"/>
        </w:numPr>
      </w:pPr>
      <w:r>
        <w:rPr>
          <w:b/>
          <w:bCs/>
        </w:rPr>
        <w:t xml:space="preserve">Faktura za naprawy:</w:t>
      </w:r>
      <w:r>
        <w:t xml:space="preserve"> </w:t>
      </w:r>
      <w:r>
        <w:t xml:space="preserve">Dowód poniesionych kosztów (3 500,00 zł netto) [Źródło 1].</w:t>
      </w:r>
    </w:p>
    <w:p>
      <w:pPr>
        <w:pStyle w:val="Compact"/>
        <w:numPr>
          <w:ilvl w:val="2"/>
          <w:numId w:val="1021"/>
        </w:numPr>
      </w:pPr>
      <w:r>
        <w:rPr>
          <w:b/>
          <w:bCs/>
        </w:rPr>
        <w:t xml:space="preserve">Pisma do dewelopera:</w:t>
      </w:r>
      <w:r>
        <w:t xml:space="preserve"> </w:t>
      </w:r>
      <w:r>
        <w:t xml:space="preserve">Dowód zgłaszania wad i bezskuteczności działań dewelopera [Źródło 1].</w:t>
      </w:r>
    </w:p>
    <w:p>
      <w:pPr>
        <w:pStyle w:val="Compact"/>
        <w:numPr>
          <w:ilvl w:val="2"/>
          <w:numId w:val="1021"/>
        </w:numPr>
      </w:pPr>
      <w:r>
        <w:rPr>
          <w:b/>
          <w:bCs/>
        </w:rPr>
        <w:t xml:space="preserve">Zeznania świadków:</w:t>
      </w:r>
      <w:r>
        <w:t xml:space="preserve"> </w:t>
      </w:r>
      <w:r>
        <w:t xml:space="preserve">Osoby obecne przy odbiorze lokalu (jeśli były), fachowiec wykonujący naprawy, inni mieszkańcy (jeśli zgłaszali podobne wady).</w:t>
      </w:r>
    </w:p>
    <w:p>
      <w:pPr>
        <w:pStyle w:val="Compact"/>
        <w:numPr>
          <w:ilvl w:val="2"/>
          <w:numId w:val="1021"/>
        </w:numPr>
      </w:pPr>
      <w:r>
        <w:rPr>
          <w:b/>
          <w:bCs/>
        </w:rPr>
        <w:t xml:space="preserve">Ekspertyza rzeczoznawcy budowlanego:</w:t>
      </w:r>
      <w:r>
        <w:t xml:space="preserve"> </w:t>
      </w:r>
      <w:r>
        <w:t xml:space="preserve">Najważniejszy dowód, który potwierdzi istnienie, charakter, zakres i przyczynę wad, a także pomoże w precyzyjnym określeniu wysokości obniżenia ceny lub odszkodowania [Źródło 1].</w:t>
      </w:r>
    </w:p>
    <w:p>
      <w:pPr>
        <w:pStyle w:val="Compact"/>
        <w:numPr>
          <w:ilvl w:val="2"/>
          <w:numId w:val="1021"/>
        </w:numPr>
      </w:pPr>
      <w:r>
        <w:rPr>
          <w:b/>
          <w:bCs/>
        </w:rPr>
        <w:t xml:space="preserve">Umowa deweloperska:</w:t>
      </w:r>
      <w:r>
        <w:t xml:space="preserve"> </w:t>
      </w:r>
      <w:r>
        <w:t xml:space="preserve">Jako podstawa stosunku prawnego.</w:t>
      </w:r>
    </w:p>
    <w:bookmarkEnd w:id="14"/>
    <w:bookmarkStart w:id="15" w:name="iv.-wyliczenie-roszczeń"/>
    <w:p>
      <w:pPr>
        <w:pStyle w:val="Heading3"/>
      </w:pPr>
      <w:r>
        <w:t xml:space="preserve">IV. Wyliczenie roszczeń</w:t>
      </w:r>
    </w:p>
    <w:p>
      <w:pPr>
        <w:pStyle w:val="Compact"/>
        <w:numPr>
          <w:ilvl w:val="0"/>
          <w:numId w:val="1022"/>
        </w:numPr>
      </w:pPr>
      <w:r>
        <w:rPr>
          <w:b/>
          <w:bCs/>
        </w:rPr>
        <w:t xml:space="preserve">Zwrot kosztów napraw (odszkodowanie):</w:t>
      </w:r>
    </w:p>
    <w:p>
      <w:pPr>
        <w:pStyle w:val="Compact"/>
        <w:numPr>
          <w:ilvl w:val="1"/>
          <w:numId w:val="1023"/>
        </w:numPr>
      </w:pPr>
      <w:r>
        <w:t xml:space="preserve">Kwota główna: 3 500,00 zł netto [Źródło 1].</w:t>
      </w:r>
    </w:p>
    <w:p>
      <w:pPr>
        <w:pStyle w:val="Compact"/>
        <w:numPr>
          <w:ilvl w:val="1"/>
          <w:numId w:val="1023"/>
        </w:numPr>
      </w:pPr>
      <w:r>
        <w:t xml:space="preserve">Odsetki: Należy żądać odsetek ustawowych za opóźnienie od dnia następnego po upływie terminu na zapłatę wskazanego w wezwaniu (lub od dnia doręczenia faktury, jeśli faktura została doręczona). Zakładając, że wezwanie przedsądowe wyznaczy 14-dniowy termin, odsetki biegną po tym terminie.</w:t>
      </w:r>
    </w:p>
    <w:p>
      <w:pPr>
        <w:pStyle w:val="Compact"/>
        <w:numPr>
          <w:ilvl w:val="0"/>
          <w:numId w:val="1022"/>
        </w:numPr>
      </w:pPr>
      <w:r>
        <w:rPr>
          <w:b/>
          <w:bCs/>
        </w:rPr>
        <w:t xml:space="preserve">Obniżenie ceny (rękojmia):</w:t>
      </w:r>
    </w:p>
    <w:p>
      <w:pPr>
        <w:pStyle w:val="Compact"/>
        <w:numPr>
          <w:ilvl w:val="1"/>
          <w:numId w:val="1024"/>
        </w:numPr>
      </w:pPr>
      <w:r>
        <w:t xml:space="preserve">Kwota główna: 63 000,00 zł (15% z 420 000,00 zł) [Źródło 1].</w:t>
      </w:r>
    </w:p>
    <w:p>
      <w:pPr>
        <w:pStyle w:val="Compact"/>
        <w:numPr>
          <w:ilvl w:val="1"/>
          <w:numId w:val="1024"/>
        </w:numPr>
      </w:pPr>
      <w:r>
        <w:t xml:space="preserve">Odsetki: Należy żądać odsetek ustawowych za opóźnienie od dnia następnego po upływie terminu na zapłatę wskazanego w wezwaniu przedsądowym.</w:t>
      </w:r>
    </w:p>
    <w:p>
      <w:pPr>
        <w:pStyle w:val="Compact"/>
        <w:numPr>
          <w:ilvl w:val="0"/>
          <w:numId w:val="1022"/>
        </w:numPr>
      </w:pPr>
      <w:r>
        <w:rPr>
          <w:b/>
          <w:bCs/>
        </w:rPr>
        <w:t xml:space="preserve">Koszty ekspertyzy rzeczoznawcy budowlanego:</w:t>
      </w:r>
    </w:p>
    <w:p>
      <w:pPr>
        <w:pStyle w:val="Compact"/>
        <w:numPr>
          <w:ilvl w:val="1"/>
          <w:numId w:val="1025"/>
        </w:numPr>
      </w:pPr>
      <w:r>
        <w:t xml:space="preserve">Kwota główna: 4 800,00 zł brutto [Źródło 1].</w:t>
      </w:r>
    </w:p>
    <w:p>
      <w:pPr>
        <w:pStyle w:val="Compact"/>
        <w:numPr>
          <w:ilvl w:val="1"/>
          <w:numId w:val="1025"/>
        </w:numPr>
      </w:pPr>
      <w:r>
        <w:t xml:space="preserve">Będzie to element kosztów procesu, które sąd zasądzi od strony przegrywającej.</w:t>
      </w:r>
    </w:p>
    <w:p>
      <w:pPr>
        <w:pStyle w:val="FirstParagraph"/>
      </w:pPr>
      <w:r>
        <w:rPr>
          <w:b/>
          <w:bCs/>
        </w:rPr>
        <w:t xml:space="preserve">Łączna wartość roszczeń pieniężnych dochodzonych pozwem (bez kosztów procesu i ekspertyzy):</w:t>
      </w:r>
      <w:r>
        <w:t xml:space="preserve"> </w:t>
      </w:r>
      <w:r>
        <w:t xml:space="preserve">3 500,00 zł + 63 000,00 zł =</w:t>
      </w:r>
      <w:r>
        <w:t xml:space="preserve"> </w:t>
      </w:r>
      <w:r>
        <w:rPr>
          <w:b/>
          <w:bCs/>
        </w:rPr>
        <w:t xml:space="preserve">66 500,00 zł</w:t>
      </w:r>
      <w:r>
        <w:t xml:space="preserve">.</w:t>
      </w:r>
    </w:p>
    <w:bookmarkEnd w:id="15"/>
    <w:bookmarkStart w:id="16" w:name="v.-rejestr-ryzyk-i-szans"/>
    <w:p>
      <w:pPr>
        <w:pStyle w:val="Heading3"/>
      </w:pPr>
      <w:r>
        <w:t xml:space="preserve">V. Rejestr ryzyk i szans</w:t>
      </w:r>
    </w:p>
    <w:p>
      <w:pPr>
        <w:pStyle w:val="FirstParagraph"/>
      </w:pPr>
      <w:r>
        <w:rPr>
          <w:b/>
          <w:bCs/>
        </w:rPr>
        <w:t xml:space="preserve">Szanse:</w:t>
      </w:r>
    </w:p>
    <w:p>
      <w:pPr>
        <w:pStyle w:val="Compact"/>
        <w:numPr>
          <w:ilvl w:val="0"/>
          <w:numId w:val="1026"/>
        </w:numPr>
      </w:pPr>
      <w:r>
        <w:rPr>
          <w:b/>
          <w:bCs/>
        </w:rPr>
        <w:t xml:space="preserve">Udokumentowane wady:</w:t>
      </w:r>
      <w:r>
        <w:t xml:space="preserve"> </w:t>
      </w:r>
      <w:r>
        <w:t xml:space="preserve">Istnienie wad zostało potwierdzone w protokole odbioru, a ich charakter (przeciekająca instalacja grzewcza, nieszczelne drzwi balkonowe) wskazuje na istotność, co wzmacnia pozycję Nabywcy [Źródło 1].</w:t>
      </w:r>
    </w:p>
    <w:p>
      <w:pPr>
        <w:pStyle w:val="Compact"/>
        <w:numPr>
          <w:ilvl w:val="0"/>
          <w:numId w:val="1026"/>
        </w:numPr>
      </w:pPr>
      <w:r>
        <w:rPr>
          <w:b/>
          <w:bCs/>
        </w:rPr>
        <w:t xml:space="preserve">Odmowa dewelopera:</w:t>
      </w:r>
      <w:r>
        <w:t xml:space="preserve"> </w:t>
      </w:r>
      <w:r>
        <w:t xml:space="preserve">Odmowa zwrotu kosztów napraw i obniżenia ceny, wraz z powoływaniem się na klauzule umowne, jednoznacznie określa stanowisko dewelopera i uzasadnia drogę sądową.</w:t>
      </w:r>
    </w:p>
    <w:p>
      <w:pPr>
        <w:pStyle w:val="Compact"/>
        <w:numPr>
          <w:ilvl w:val="0"/>
          <w:numId w:val="1026"/>
        </w:numPr>
      </w:pPr>
      <w:r>
        <w:rPr>
          <w:b/>
          <w:bCs/>
        </w:rPr>
        <w:t xml:space="preserve">Pilność napraw:</w:t>
      </w:r>
      <w:r>
        <w:t xml:space="preserve"> </w:t>
      </w:r>
      <w:r>
        <w:t xml:space="preserve">Konieczność samodzielnego wykonania napraw hydraulicznych z uwagi na pilność i nieskuteczność dewelopera przemawia na korzyść Nabywcy.</w:t>
      </w:r>
    </w:p>
    <w:p>
      <w:pPr>
        <w:pStyle w:val="Compact"/>
        <w:numPr>
          <w:ilvl w:val="0"/>
          <w:numId w:val="1026"/>
        </w:numPr>
      </w:pPr>
      <w:r>
        <w:rPr>
          <w:b/>
          <w:bCs/>
        </w:rPr>
        <w:t xml:space="preserve">Ochrona konsumenta:</w:t>
      </w:r>
      <w:r>
        <w:t xml:space="preserve"> </w:t>
      </w:r>
      <w:r>
        <w:t xml:space="preserve">Status konsumenta daje Nabywcy silniejszą pozycję prawną, zwłaszcza w zakresie kwestionowania klauzul umownych ograniczających jego prawa (np. termin przedawnienia).</w:t>
      </w:r>
    </w:p>
    <w:p>
      <w:pPr>
        <w:pStyle w:val="Compact"/>
        <w:numPr>
          <w:ilvl w:val="0"/>
          <w:numId w:val="1026"/>
        </w:numPr>
      </w:pPr>
      <w:r>
        <w:rPr>
          <w:b/>
          <w:bCs/>
        </w:rPr>
        <w:t xml:space="preserve">Dobra dokumentacja:</w:t>
      </w:r>
      <w:r>
        <w:t xml:space="preserve"> </w:t>
      </w:r>
      <w:r>
        <w:t xml:space="preserve">M. K. dysponuje protokołem odbioru i fakturą za naprawy [Źródło 1].</w:t>
      </w:r>
    </w:p>
    <w:p>
      <w:pPr>
        <w:pStyle w:val="FirstParagraph"/>
      </w:pPr>
      <w:r>
        <w:rPr>
          <w:b/>
          <w:bCs/>
        </w:rPr>
        <w:t xml:space="preserve">Ryzyka:</w:t>
      </w:r>
    </w:p>
    <w:p>
      <w:pPr>
        <w:pStyle w:val="Compact"/>
        <w:numPr>
          <w:ilvl w:val="0"/>
          <w:numId w:val="1027"/>
        </w:numPr>
      </w:pPr>
      <w:r>
        <w:rPr>
          <w:b/>
          <w:bCs/>
        </w:rPr>
        <w:t xml:space="preserve">Kwestionowanie wad:</w:t>
      </w:r>
      <w:r>
        <w:t xml:space="preserve"> </w:t>
      </w:r>
      <w:r>
        <w:t xml:space="preserve">DEWBUD S.A. może kwestionować rzeczywisty zakres wad, ich przyczynę (np. niewłaściwe użytkowanie) oraz to, czy wady są istotne, a nie</w:t>
      </w:r>
      <w:r>
        <w:t xml:space="preserve"> </w:t>
      </w:r>
      <w:r>
        <w:t xml:space="preserve">“drobne”</w:t>
      </w:r>
      <w:r>
        <w:t xml:space="preserve"> </w:t>
      </w:r>
      <w:r>
        <w:t xml:space="preserve">[Źródło 1].</w:t>
      </w:r>
    </w:p>
    <w:p>
      <w:pPr>
        <w:pStyle w:val="Compact"/>
        <w:numPr>
          <w:ilvl w:val="0"/>
          <w:numId w:val="1027"/>
        </w:numPr>
      </w:pPr>
      <w:r>
        <w:rPr>
          <w:b/>
          <w:bCs/>
        </w:rPr>
        <w:t xml:space="preserve">Zarzut samodzielnych napraw:</w:t>
      </w:r>
      <w:r>
        <w:t xml:space="preserve"> </w:t>
      </w:r>
      <w:r>
        <w:t xml:space="preserve">DEWBUD S.A. z pewnością podniesie zarzut naruszenia §12 ust. 4 umowy [Źródło 1]. Należy przygotować solidną argumentację, że działania Nabywcy były konieczne i proporcjonalne.</w:t>
      </w:r>
    </w:p>
    <w:p>
      <w:pPr>
        <w:pStyle w:val="Compact"/>
        <w:numPr>
          <w:ilvl w:val="0"/>
          <w:numId w:val="1027"/>
        </w:numPr>
      </w:pPr>
      <w:r>
        <w:rPr>
          <w:b/>
          <w:bCs/>
        </w:rPr>
        <w:t xml:space="preserve">Zarzut przedawnienia:</w:t>
      </w:r>
      <w:r>
        <w:t xml:space="preserve"> </w:t>
      </w:r>
      <w:r>
        <w:t xml:space="preserve">DEWBUD S.A. powoła się na §15 ust. 1 umowy skracający terminy przedawnienia [Źródło 1]. Mimo że dla konsumenta klauzula ta jest najprawdopodobniej bezskuteczna, wymaga to obalenia w procesie.</w:t>
      </w:r>
    </w:p>
    <w:p>
      <w:pPr>
        <w:pStyle w:val="Compact"/>
        <w:numPr>
          <w:ilvl w:val="0"/>
          <w:numId w:val="1027"/>
        </w:numPr>
      </w:pPr>
      <w:r>
        <w:rPr>
          <w:b/>
          <w:bCs/>
        </w:rPr>
        <w:t xml:space="preserve">Koszty i czas postępowania:</w:t>
      </w:r>
      <w:r>
        <w:t xml:space="preserve"> </w:t>
      </w:r>
      <w:r>
        <w:t xml:space="preserve">Proces sądowy może być długotrwały i kosztowny, zwłaszcza z uwagi na konieczność powołania biegłego rzeczoznawcy [Źródło 1].</w:t>
      </w:r>
    </w:p>
    <w:p>
      <w:pPr>
        <w:pStyle w:val="Compact"/>
        <w:numPr>
          <w:ilvl w:val="0"/>
          <w:numId w:val="1027"/>
        </w:numPr>
      </w:pPr>
      <w:r>
        <w:rPr>
          <w:b/>
          <w:bCs/>
        </w:rPr>
        <w:t xml:space="preserve">Dowody:</w:t>
      </w:r>
      <w:r>
        <w:t xml:space="preserve"> </w:t>
      </w:r>
      <w:r>
        <w:t xml:space="preserve">Brak szczegółowej dokumentacji fotograficznej wad może utrudnić udowodnienie ich zakresu i wpływu na użyteczność lokalu.</w:t>
      </w:r>
    </w:p>
    <w:p>
      <w:pPr>
        <w:pStyle w:val="FirstParagraph"/>
      </w:pPr>
      <w:r>
        <w:rPr>
          <w:b/>
          <w:bCs/>
        </w:rPr>
        <w:t xml:space="preserve">Kontrargumenty strony przeciwnej (jak wskazano w kazusie):</w:t>
      </w:r>
    </w:p>
    <w:p>
      <w:pPr>
        <w:pStyle w:val="Compact"/>
        <w:numPr>
          <w:ilvl w:val="0"/>
          <w:numId w:val="1028"/>
        </w:numPr>
      </w:pPr>
      <w:r>
        <w:t xml:space="preserve">Zakaz samodzielnych napraw bez zgody dewelopera (§12 ust. 4 umowy) [Źródło 1].</w:t>
      </w:r>
    </w:p>
    <w:p>
      <w:pPr>
        <w:pStyle w:val="Compact"/>
        <w:numPr>
          <w:ilvl w:val="0"/>
          <w:numId w:val="1028"/>
        </w:numPr>
      </w:pPr>
      <w:r>
        <w:t xml:space="preserve">Skrócenie terminów przedawnienia roszczeń (§15 ust. 1 umowy) [Źródło 1].</w:t>
      </w:r>
    </w:p>
    <w:p>
      <w:pPr>
        <w:pStyle w:val="Compact"/>
        <w:numPr>
          <w:ilvl w:val="0"/>
          <w:numId w:val="1028"/>
        </w:numPr>
      </w:pPr>
      <w:r>
        <w:t xml:space="preserve">Stwierdzenie, że większość usterek usunięto, a pozostałe są drobne i podlegają zgłoszeniu gwarancyjnemu [Źródło 1].</w:t>
      </w:r>
    </w:p>
    <w:p>
      <w:pPr>
        <w:pStyle w:val="FirstParagraph"/>
      </w:pPr>
      <w:r>
        <w:rPr>
          <w:b/>
          <w:bCs/>
        </w:rPr>
        <w:t xml:space="preserve">Rekomendowana strategia:</w:t>
      </w:r>
    </w:p>
    <w:p>
      <w:pPr>
        <w:pStyle w:val="Compact"/>
        <w:numPr>
          <w:ilvl w:val="0"/>
          <w:numId w:val="1029"/>
        </w:numPr>
      </w:pPr>
      <w:r>
        <w:rPr>
          <w:b/>
          <w:bCs/>
        </w:rPr>
        <w:t xml:space="preserve">Negocjacje / Postępowanie przedsądowe:</w:t>
      </w:r>
    </w:p>
    <w:p>
      <w:pPr>
        <w:pStyle w:val="Compact"/>
        <w:numPr>
          <w:ilvl w:val="1"/>
          <w:numId w:val="1030"/>
        </w:numPr>
      </w:pPr>
      <w:r>
        <w:t xml:space="preserve">Wysłanie formalnego wezwania przedsądowego, które jasno określi roszczenia, podstawy prawne i terminy. Pismo to powinno być rzeczowe, ale stanowcze, z wyraźną groźbą skierowania sprawy na drogę sądową.</w:t>
      </w:r>
    </w:p>
    <w:p>
      <w:pPr>
        <w:pStyle w:val="Compact"/>
        <w:numPr>
          <w:ilvl w:val="1"/>
          <w:numId w:val="1030"/>
        </w:numPr>
      </w:pPr>
      <w:r>
        <w:t xml:space="preserve">Celem jest próba ugodowego rozwiązania sporu, uniknięcie kosztów sądowych oraz stworzenie solidnej podstawy dowodowej dla ewentualnego procesu.</w:t>
      </w:r>
    </w:p>
    <w:p>
      <w:pPr>
        <w:pStyle w:val="Compact"/>
        <w:numPr>
          <w:ilvl w:val="0"/>
          <w:numId w:val="1029"/>
        </w:numPr>
      </w:pPr>
      <w:r>
        <w:rPr>
          <w:b/>
          <w:bCs/>
        </w:rPr>
        <w:t xml:space="preserve">Postępowanie sądowe:</w:t>
      </w:r>
    </w:p>
    <w:p>
      <w:pPr>
        <w:pStyle w:val="Compact"/>
        <w:numPr>
          <w:ilvl w:val="1"/>
          <w:numId w:val="1031"/>
        </w:numPr>
      </w:pPr>
      <w:r>
        <w:t xml:space="preserve">W przypadku braku pozytywnej reakcji dewelopera na wezwanie przedsądowe, należy skierować sprawę na drogę sądową.</w:t>
      </w:r>
    </w:p>
    <w:p>
      <w:pPr>
        <w:pStyle w:val="Compact"/>
        <w:numPr>
          <w:ilvl w:val="1"/>
          <w:numId w:val="1031"/>
        </w:numPr>
      </w:pPr>
      <w:r>
        <w:t xml:space="preserve">Rekomenduje się złożenie pozwu o zapłatę wraz z wnioskiem o zabezpieczenie roszczeń.</w:t>
      </w:r>
    </w:p>
    <w:p>
      <w:pPr>
        <w:pStyle w:val="Compact"/>
        <w:numPr>
          <w:ilvl w:val="1"/>
          <w:numId w:val="1031"/>
        </w:numPr>
      </w:pPr>
      <w:r>
        <w:t xml:space="preserve">Kluczowe będzie powołanie biegłego rzeczoznawcy budowlanego, który oceni wady, ich przyczynę, sposób naprawy oraz wyceni obniżenie wartości nieruchomości.</w:t>
      </w:r>
    </w:p>
    <w:p>
      <w:pPr>
        <w:pStyle w:val="Compact"/>
        <w:numPr>
          <w:ilvl w:val="1"/>
          <w:numId w:val="1031"/>
        </w:numPr>
      </w:pPr>
      <w:r>
        <w:t xml:space="preserve">Strategia powinna opierać się na dochodzeniu roszczeń z tytułu nienależytego wykonania umowy (art. 471 k.c.) w zakresie kosztów napraw wykonanych przez Nabywcę, oraz roszczeń z rękojmi (obniżenie ceny).</w:t>
      </w:r>
    </w:p>
    <w:p>
      <w:pPr>
        <w:pStyle w:val="Compact"/>
        <w:numPr>
          <w:ilvl w:val="0"/>
          <w:numId w:val="1029"/>
        </w:numPr>
      </w:pPr>
      <w:r>
        <w:rPr>
          <w:b/>
          <w:bCs/>
        </w:rPr>
        <w:t xml:space="preserve">Organ:</w:t>
      </w:r>
    </w:p>
    <w:p>
      <w:pPr>
        <w:pStyle w:val="Compact"/>
        <w:numPr>
          <w:ilvl w:val="1"/>
          <w:numId w:val="1032"/>
        </w:numPr>
      </w:pPr>
      <w:r>
        <w:t xml:space="preserve">W tej sprawie nie widzi się podstaw do bezpośredniego angażowania organów administracji państwowej, choć w niektórych przypadkach Urząd Ochrony Konkurencji i Konsumentów (UOKiK) może interweniować w sprawach dotyczących niedozwolonych klauzul umownych. Można rozważyć zgłoszenie do UOKiK klauzul §12 ust. 4 i §15 ust. 1.</w:t>
      </w:r>
    </w:p>
    <w:bookmarkEnd w:id="16"/>
    <w:bookmarkStart w:id="17" w:name="vi.-instrukcja-kolejnych-kroków"/>
    <w:p>
      <w:pPr>
        <w:pStyle w:val="Heading3"/>
      </w:pPr>
      <w:r>
        <w:t xml:space="preserve">VI. Instrukcja kolejnych kroków</w:t>
      </w:r>
    </w:p>
    <w:p>
      <w:pPr>
        <w:pStyle w:val="Compact"/>
        <w:numPr>
          <w:ilvl w:val="0"/>
          <w:numId w:val="1033"/>
        </w:numPr>
      </w:pPr>
      <w:r>
        <w:rPr>
          <w:b/>
          <w:bCs/>
        </w:rPr>
        <w:t xml:space="preserve">Zlecenie ekspertyzy rzeczoznawcy budowlanego (natychmiast):</w:t>
      </w:r>
    </w:p>
    <w:p>
      <w:pPr>
        <w:pStyle w:val="Compact"/>
        <w:numPr>
          <w:ilvl w:val="1"/>
          <w:numId w:val="1034"/>
        </w:numPr>
      </w:pPr>
      <w:r>
        <w:rPr>
          <w:b/>
          <w:bCs/>
        </w:rPr>
        <w:t xml:space="preserve">Co:</w:t>
      </w:r>
      <w:r>
        <w:t xml:space="preserve"> </w:t>
      </w:r>
      <w:r>
        <w:t xml:space="preserve">Zlecenie niezależnej ekspertyzy rzeczoznawcy budowlanego w celu szczegółowego określenia wszystkich wad (w tym przecieków instalacji grzewczej, nieszczelności drzwi balkonowych, spękanych parapetów), ich przyczyn, zakresu, metody i kosztu usunięcia oraz wpływu na wartość rynkową lokalu [Źródło 1].</w:t>
      </w:r>
    </w:p>
    <w:p>
      <w:pPr>
        <w:pStyle w:val="Compact"/>
        <w:numPr>
          <w:ilvl w:val="1"/>
          <w:numId w:val="1034"/>
        </w:numPr>
      </w:pPr>
      <w:r>
        <w:rPr>
          <w:b/>
          <w:bCs/>
        </w:rPr>
        <w:t xml:space="preserve">Termin:</w:t>
      </w:r>
      <w:r>
        <w:t xml:space="preserve"> </w:t>
      </w:r>
      <w:r>
        <w:t xml:space="preserve">Jak najszybciej, przed wysłaniem wezwania przedsądowego, aby wzmocnić argumentację i wycenę roszczeń.</w:t>
      </w:r>
    </w:p>
    <w:p>
      <w:pPr>
        <w:pStyle w:val="Compact"/>
        <w:numPr>
          <w:ilvl w:val="1"/>
          <w:numId w:val="1034"/>
        </w:numPr>
      </w:pPr>
      <w:r>
        <w:rPr>
          <w:b/>
          <w:bCs/>
        </w:rPr>
        <w:t xml:space="preserve">Dokumenty do zabezpieczenia:</w:t>
      </w:r>
      <w:r>
        <w:t xml:space="preserve"> </w:t>
      </w:r>
      <w:r>
        <w:t xml:space="preserve">Oryginał ekspertyzy wraz z dokumentacją fotograficzną.</w:t>
      </w:r>
    </w:p>
    <w:p>
      <w:pPr>
        <w:pStyle w:val="Compact"/>
        <w:numPr>
          <w:ilvl w:val="0"/>
          <w:numId w:val="1033"/>
        </w:numPr>
      </w:pPr>
      <w:r>
        <w:rPr>
          <w:b/>
          <w:bCs/>
        </w:rPr>
        <w:t xml:space="preserve">Zgromadzenie dodatkowej dokumentacji (natychmiast):</w:t>
      </w:r>
    </w:p>
    <w:p>
      <w:pPr>
        <w:pStyle w:val="Compact"/>
        <w:numPr>
          <w:ilvl w:val="1"/>
          <w:numId w:val="1035"/>
        </w:numPr>
      </w:pPr>
      <w:r>
        <w:rPr>
          <w:b/>
          <w:bCs/>
        </w:rPr>
        <w:t xml:space="preserve">Co:</w:t>
      </w:r>
      <w:r>
        <w:t xml:space="preserve"> </w:t>
      </w:r>
      <w:r>
        <w:t xml:space="preserve">Uzupełnienie dokumentacji fotograficznej wad (szczególnie tych powracających), wszelkich korespondencji z deweloperem dotyczących zgłaszanych usterek i prób ich usunięcia, ewentualnych zeznań świadków (np. osoby towarzyszącej przy odbiorze, sąsiadów, którzy zaobserwowali problemy, czy też fachowca, który dokonywał pilnych napraw) [Źródło 1].</w:t>
      </w:r>
    </w:p>
    <w:p>
      <w:pPr>
        <w:pStyle w:val="Compact"/>
        <w:numPr>
          <w:ilvl w:val="1"/>
          <w:numId w:val="1035"/>
        </w:numPr>
      </w:pPr>
      <w:r>
        <w:rPr>
          <w:b/>
          <w:bCs/>
        </w:rPr>
        <w:t xml:space="preserve">Termin:</w:t>
      </w:r>
      <w:r>
        <w:t xml:space="preserve"> </w:t>
      </w:r>
      <w:r>
        <w:t xml:space="preserve">Jak najszybciej.</w:t>
      </w:r>
    </w:p>
    <w:p>
      <w:pPr>
        <w:pStyle w:val="Compact"/>
        <w:numPr>
          <w:ilvl w:val="1"/>
          <w:numId w:val="1035"/>
        </w:numPr>
      </w:pPr>
      <w:r>
        <w:rPr>
          <w:b/>
          <w:bCs/>
        </w:rPr>
        <w:t xml:space="preserve">Dokumenty do zabezpieczenia:</w:t>
      </w:r>
      <w:r>
        <w:t xml:space="preserve"> </w:t>
      </w:r>
      <w:r>
        <w:t xml:space="preserve">Zdjęcia, nagrania, kopie korespondencji, dane kontaktowe świadków.</w:t>
      </w:r>
    </w:p>
    <w:p>
      <w:pPr>
        <w:pStyle w:val="Compact"/>
        <w:numPr>
          <w:ilvl w:val="0"/>
          <w:numId w:val="1033"/>
        </w:numPr>
      </w:pPr>
      <w:r>
        <w:rPr>
          <w:b/>
          <w:bCs/>
        </w:rPr>
        <w:t xml:space="preserve">Przygotowanie i wysłanie Wezwania przedsądowego do dewelopera (w terminie 7 dni od otrzymania ekspertyzy):</w:t>
      </w:r>
    </w:p>
    <w:p>
      <w:pPr>
        <w:pStyle w:val="Compact"/>
        <w:numPr>
          <w:ilvl w:val="1"/>
          <w:numId w:val="1036"/>
        </w:numPr>
      </w:pPr>
      <w:r>
        <w:rPr>
          <w:b/>
          <w:bCs/>
        </w:rPr>
        <w:t xml:space="preserve">Co:</w:t>
      </w:r>
      <w:r>
        <w:t xml:space="preserve"> </w:t>
      </w:r>
      <w:r>
        <w:t xml:space="preserve">Wystosowanie formalnego wezwania do DEWBUD S.A. zawierającego żądanie usunięcia wad w wyznaczonym terminie, zwrotu kosztów napraw (3 500,00 zł netto + odsetki), obniżenia ceny (63 000,00 zł + odsetki) oraz zabezpieczenia roszczeń [Źródło 1]. Wezwanie powinno zawierać zagrożenie skierowania sprawy na drogę sądową.</w:t>
      </w:r>
    </w:p>
    <w:p>
      <w:pPr>
        <w:pStyle w:val="Compact"/>
        <w:numPr>
          <w:ilvl w:val="1"/>
          <w:numId w:val="1036"/>
        </w:numPr>
      </w:pPr>
      <w:r>
        <w:rPr>
          <w:b/>
          <w:bCs/>
        </w:rPr>
        <w:t xml:space="preserve">Termin:</w:t>
      </w:r>
      <w:r>
        <w:t xml:space="preserve"> </w:t>
      </w:r>
      <w:r>
        <w:t xml:space="preserve">Należy wyznaczyć deweloperowi krótki, lecz realny termin na ustosunkowanie się do wezwania i spełnienie żądań (np. 14 dni).</w:t>
      </w:r>
    </w:p>
    <w:p>
      <w:pPr>
        <w:pStyle w:val="Compact"/>
        <w:numPr>
          <w:ilvl w:val="1"/>
          <w:numId w:val="1036"/>
        </w:numPr>
      </w:pPr>
      <w:r>
        <w:rPr>
          <w:b/>
          <w:bCs/>
        </w:rPr>
        <w:t xml:space="preserve">Dokumenty do zabezpieczenia:</w:t>
      </w:r>
      <w:r>
        <w:t xml:space="preserve"> </w:t>
      </w:r>
      <w:r>
        <w:t xml:space="preserve">Potwierdzenie nadania i odbioru pisma.</w:t>
      </w:r>
    </w:p>
    <w:p>
      <w:pPr>
        <w:pStyle w:val="Compact"/>
        <w:numPr>
          <w:ilvl w:val="0"/>
          <w:numId w:val="1033"/>
        </w:numPr>
      </w:pPr>
      <w:r>
        <w:rPr>
          <w:b/>
          <w:bCs/>
        </w:rPr>
        <w:t xml:space="preserve">Monitorowanie terminu na odpowiedź i podjęcie decyzji (po upływie terminu z wezwania):</w:t>
      </w:r>
    </w:p>
    <w:p>
      <w:pPr>
        <w:pStyle w:val="Compact"/>
        <w:numPr>
          <w:ilvl w:val="1"/>
          <w:numId w:val="1037"/>
        </w:numPr>
      </w:pPr>
      <w:r>
        <w:rPr>
          <w:b/>
          <w:bCs/>
        </w:rPr>
        <w:t xml:space="preserve">Co:</w:t>
      </w:r>
      <w:r>
        <w:t xml:space="preserve"> </w:t>
      </w:r>
      <w:r>
        <w:t xml:space="preserve">Po upływie terminu wyznaczonego w wezwaniu, w przypadku braku satysfakcjonującej odpowiedzi lub realizacji żądań, należy przejść do etapu sądowego.</w:t>
      </w:r>
    </w:p>
    <w:p>
      <w:pPr>
        <w:pStyle w:val="Compact"/>
        <w:numPr>
          <w:ilvl w:val="1"/>
          <w:numId w:val="1037"/>
        </w:numPr>
      </w:pPr>
      <w:r>
        <w:rPr>
          <w:b/>
          <w:bCs/>
        </w:rPr>
        <w:t xml:space="preserve">Termin:</w:t>
      </w:r>
      <w:r>
        <w:t xml:space="preserve"> </w:t>
      </w:r>
      <w:r>
        <w:t xml:space="preserve">Bezpośrednio po upływie terminu z wezwania przedsądowego.</w:t>
      </w:r>
    </w:p>
    <w:p>
      <w:pPr>
        <w:pStyle w:val="Compact"/>
        <w:numPr>
          <w:ilvl w:val="0"/>
          <w:numId w:val="1033"/>
        </w:numPr>
      </w:pPr>
      <w:r>
        <w:rPr>
          <w:b/>
          <w:bCs/>
        </w:rPr>
        <w:t xml:space="preserve">Przygotowanie i złożenie Pozwu do sądu rejonowego wraz z Wnioskiem o zabezpieczenie roszczeń (niezwłocznie po podjęciu decyzji o drodze sądowej):</w:t>
      </w:r>
    </w:p>
    <w:p>
      <w:pPr>
        <w:pStyle w:val="Compact"/>
        <w:numPr>
          <w:ilvl w:val="1"/>
          <w:numId w:val="1038"/>
        </w:numPr>
      </w:pPr>
      <w:r>
        <w:rPr>
          <w:b/>
          <w:bCs/>
        </w:rPr>
        <w:t xml:space="preserve">Co:</w:t>
      </w:r>
      <w:r>
        <w:t xml:space="preserve"> </w:t>
      </w:r>
      <w:r>
        <w:t xml:space="preserve">Skierowanie pozwu do Sądu Rejonowego w Warszawie o zapłatę dochodzonych kwot oraz złożenie wniosku o zabezpieczenie roszczeń (np. zajęcie rachunków dewelopera lub inne adekwatne) [Źródło 1].</w:t>
      </w:r>
    </w:p>
    <w:p>
      <w:pPr>
        <w:pStyle w:val="Compact"/>
        <w:numPr>
          <w:ilvl w:val="1"/>
          <w:numId w:val="1038"/>
        </w:numPr>
      </w:pPr>
      <w:r>
        <w:rPr>
          <w:b/>
          <w:bCs/>
        </w:rPr>
        <w:t xml:space="preserve">Termin:</w:t>
      </w:r>
      <w:r>
        <w:t xml:space="preserve"> </w:t>
      </w:r>
      <w:r>
        <w:t xml:space="preserve">Niezwłocznie po bezskutecznym upływie terminu z wezwania przedsądowego.</w:t>
      </w:r>
    </w:p>
    <w:p>
      <w:pPr>
        <w:pStyle w:val="Compact"/>
        <w:numPr>
          <w:ilvl w:val="1"/>
          <w:numId w:val="1038"/>
        </w:numPr>
      </w:pPr>
      <w:r>
        <w:rPr>
          <w:b/>
          <w:bCs/>
        </w:rPr>
        <w:t xml:space="preserve">Dokumenty do zabezpieczenia:</w:t>
      </w:r>
      <w:r>
        <w:t xml:space="preserve"> </w:t>
      </w:r>
      <w:r>
        <w:t xml:space="preserve">Potwierdzenie złożenia pism w sądzie.</w:t>
      </w:r>
    </w:p>
    <w:p>
      <w:pPr>
        <w:pStyle w:val="FirstParagraph"/>
      </w:pPr>
      <w:r>
        <w:t xml:space="preserve">[[PROPOSE_DOC: Wezwanie przedsądowe do DEWBUD S.A.]]</w:t>
      </w:r>
      <w:r>
        <w:t xml:space="preserve"> </w:t>
      </w:r>
      <w:r>
        <w:t xml:space="preserve">[[PROPOSE_DOC: Wniosek o zabezpieczenie roszczeń]]</w:t>
      </w:r>
      <w:r>
        <w:t xml:space="preserve"> </w:t>
      </w:r>
      <w:r>
        <w:t xml:space="preserve">[[PROPOSE_DOC: Pozew o zapłatę]]</w:t>
      </w:r>
    </w:p>
    <w:p>
      <w:r>
        <w:pict>
          <v:rect style="width:0;height:1.5pt" o:hralign="center" o:hrstd="t" o:hr="t"/>
        </w:pict>
      </w:r>
    </w:p>
    <w:bookmarkEnd w:id="17"/>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2026-10-05T19:14:20Z</dcterms:created>
  <dcterms:modified xsi:type="dcterms:W3CDTF">2026-10-05T19:14:20Z</dcterms:modified>
</cp:coreProperties>
</file>

<file path=docProps/custom.xml><?xml version="1.0" encoding="utf-8"?>
<Properties xmlns="http://schemas.openxmlformats.org/officeDocument/2006/custom-properties" xmlns:vt="http://schemas.openxmlformats.org/officeDocument/2006/docPropsVTypes"/>
</file>