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sprawa-044-rozwiązanie-casebox"/>
    <w:p>
      <w:pPr>
        <w:pStyle w:val="Heading1"/>
      </w:pPr>
      <w:r>
        <w:t xml:space="preserve">Sprawa 044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Przedstawiamy kompleksową analizę prawną i rekomendowaną strategię postępowania w sprawie dotyczącej sporu z umowy najmu lokalu mieszkalnego pomiędzy A. K. a Panem Michałem Grabowskim, wraz z projektami pism.</w:t>
      </w:r>
    </w:p>
    <w:bookmarkEnd w:id="9"/>
    <w:bookmarkStart w:id="10" w:name="podsumowanie-sprawy"/>
    <w:p>
      <w:pPr>
        <w:pStyle w:val="Heading2"/>
      </w:pPr>
      <w:r>
        <w:t xml:space="preserve">Podsumowanie sprawy</w:t>
      </w:r>
    </w:p>
    <w:p>
      <w:pPr>
        <w:pStyle w:val="FirstParagraph"/>
      </w:pPr>
      <w:r>
        <w:t xml:space="preserve">Sprawa dotyczy sporu wynikłego z umowy najmu lokalu mieszkalnego nr ██/██/2023, zawartej 10 stycznia 2023 r., pomiędzy Wynajmującym Panem Michałem Grabowskim a Najemczynią A. K., naszą Klientką. Przedmiotem najmu był lokal mieszkalny o powierzchni 48,2 m² położony przy ul. Zielonej 7/3, 00-045 Warszawa, na czas określony od 15 stycznia 2023 r. do 14 stycznia 2024 r. Konflikt powstał na tle rozliczenia kaucji zabezpieczającej w wysokości 7 200,00 zł (trzykrotność miesięcznego czynszu 2 400,00 zł), wpłaconej przez Najemczynię 15 stycznia 2023 r. Po zdaniu lokalu 5 stycznia 2024 r., bez sporządzenia nowego protokołu zdawczo-odbiorczego, Wynajmujący dokonał jednostronnych potrąceń z kaucji w łącznej kwocie 5 700,00 zł. Kwoty te obejmowały rzekomo zaległy czynsz za październik 2023 r. (2 400,00 zł), koszty ozonowania/odświeżenia lokalu (1 500,00 zł na podstawie faktury) oraz koszty naprawy parkietu (1 800,00 zł na podstawie wyceny). Wynajmujący zwrócił Klientce jedynie 1 500,00 zł. Klientka kwestionuje zasadność i wysokość tych potrąceń, posiadając dowody w postaci zdjęć lokalu z dnia zdania, wskazujące na normalne zużycie, oraz twierdząc, że czynsz za październik 2023 r. został uregulowany. Domaga się zwrotu pozostałej kwoty 4 200,00 zł wraz z odsetkami i rekompensatą.</w:t>
      </w:r>
    </w:p>
    <w:bookmarkEnd w:id="10"/>
    <w:bookmarkStart w:id="11" w:name="kluczowe-dane"/>
    <w:p>
      <w:pPr>
        <w:pStyle w:val="Heading2"/>
      </w:pPr>
      <w:r>
        <w:t xml:space="preserve">Kluczowe dane</w:t>
      </w:r>
    </w:p>
    <w:p>
      <w:pPr>
        <w:pStyle w:val="Compact"/>
        <w:numPr>
          <w:ilvl w:val="0"/>
          <w:numId w:val="1001"/>
        </w:numPr>
      </w:pPr>
      <w:r>
        <w:rPr>
          <w:b/>
          <w:bCs/>
        </w:rPr>
        <w:t xml:space="preserve">Strony umowy:</w:t>
      </w:r>
      <w:r>
        <w:t xml:space="preserve"> </w:t>
      </w:r>
      <w:r>
        <w:t xml:space="preserve">Wynajmujący Pan M. G. (PESEL █40412█████), Najemczyni A. K. (PESEL █00101█████) [Źródło 1].</w:t>
      </w:r>
    </w:p>
    <w:p>
      <w:pPr>
        <w:pStyle w:val="Compact"/>
        <w:numPr>
          <w:ilvl w:val="0"/>
          <w:numId w:val="1001"/>
        </w:numPr>
      </w:pPr>
      <w:r>
        <w:rPr>
          <w:b/>
          <w:bCs/>
        </w:rPr>
        <w:t xml:space="preserve">Umowa:</w:t>
      </w:r>
      <w:r>
        <w:t xml:space="preserve"> </w:t>
      </w:r>
      <w:r>
        <w:t xml:space="preserve">Umowa najmu lokalu mieszkalnego nr ██/██/2023, zawarta w Warszawie 10 stycznia 2023 r. [Źródło 1].</w:t>
      </w:r>
    </w:p>
    <w:p>
      <w:pPr>
        <w:pStyle w:val="Compact"/>
        <w:numPr>
          <w:ilvl w:val="0"/>
          <w:numId w:val="1001"/>
        </w:numPr>
      </w:pPr>
      <w:r>
        <w:rPr>
          <w:b/>
          <w:bCs/>
        </w:rPr>
        <w:t xml:space="preserve">Przedmiot najmu:</w:t>
      </w:r>
      <w:r>
        <w:t xml:space="preserve"> </w:t>
      </w:r>
      <w:r>
        <w:t xml:space="preserve">Lokal mieszkalny przy ul. Zielonej 7/3, 00-045 Warszawa, powierzchnia 48,2 m² [Źródło 1].</w:t>
      </w:r>
    </w:p>
    <w:p>
      <w:pPr>
        <w:pStyle w:val="Compact"/>
        <w:numPr>
          <w:ilvl w:val="0"/>
          <w:numId w:val="1001"/>
        </w:numPr>
      </w:pPr>
      <w:r>
        <w:rPr>
          <w:b/>
          <w:bCs/>
        </w:rPr>
        <w:t xml:space="preserve">Okres najmu:</w:t>
      </w:r>
      <w:r>
        <w:t xml:space="preserve"> </w:t>
      </w:r>
      <w:r>
        <w:t xml:space="preserve">Od 15 stycznia 2023 r. do 14 stycznia 2024 r. [Źródło 1].</w:t>
      </w:r>
    </w:p>
    <w:p>
      <w:pPr>
        <w:pStyle w:val="Compact"/>
        <w:numPr>
          <w:ilvl w:val="0"/>
          <w:numId w:val="1001"/>
        </w:numPr>
      </w:pPr>
      <w:r>
        <w:rPr>
          <w:b/>
          <w:bCs/>
        </w:rPr>
        <w:t xml:space="preserve">Czynsz miesięczny:</w:t>
      </w:r>
      <w:r>
        <w:t xml:space="preserve"> </w:t>
      </w:r>
      <w:r>
        <w:t xml:space="preserve">2 400,00 zł [Źródło 1].</w:t>
      </w:r>
    </w:p>
    <w:p>
      <w:pPr>
        <w:pStyle w:val="Compact"/>
        <w:numPr>
          <w:ilvl w:val="0"/>
          <w:numId w:val="1001"/>
        </w:numPr>
      </w:pPr>
      <w:r>
        <w:rPr>
          <w:b/>
          <w:bCs/>
        </w:rPr>
        <w:t xml:space="preserve">Kaucja zabezpieczająca:</w:t>
      </w:r>
      <w:r>
        <w:t xml:space="preserve"> </w:t>
      </w:r>
      <w:r>
        <w:t xml:space="preserve">7 200,00 zł (trzykrotność czynszu), wpłacona 15 stycznia 2023 r. [Źródło 1].</w:t>
      </w:r>
    </w:p>
    <w:p>
      <w:pPr>
        <w:pStyle w:val="Compact"/>
        <w:numPr>
          <w:ilvl w:val="0"/>
          <w:numId w:val="1001"/>
        </w:numPr>
      </w:pPr>
      <w:r>
        <w:rPr>
          <w:b/>
          <w:bCs/>
        </w:rPr>
        <w:t xml:space="preserve">Zaległy czynsz (wg Wynajmującego):</w:t>
      </w:r>
      <w:r>
        <w:t xml:space="preserve"> </w:t>
      </w:r>
      <w:r>
        <w:t xml:space="preserve">2 400,00 zł za październik 2023 r. [Źródło 1].</w:t>
      </w:r>
    </w:p>
    <w:p>
      <w:pPr>
        <w:pStyle w:val="Compact"/>
        <w:numPr>
          <w:ilvl w:val="0"/>
          <w:numId w:val="1001"/>
        </w:numPr>
      </w:pPr>
      <w:r>
        <w:rPr>
          <w:b/>
          <w:bCs/>
        </w:rPr>
        <w:t xml:space="preserve">Koszty ozonowania (wg Wynajmującego):</w:t>
      </w:r>
      <w:r>
        <w:t xml:space="preserve"> </w:t>
      </w:r>
      <w:r>
        <w:t xml:space="preserve">1 500,00 zł (faktura od firmy C. sp. z o.o.) [Źródło 1].</w:t>
      </w:r>
    </w:p>
    <w:p>
      <w:pPr>
        <w:pStyle w:val="Compact"/>
        <w:numPr>
          <w:ilvl w:val="0"/>
          <w:numId w:val="1001"/>
        </w:numPr>
      </w:pPr>
      <w:r>
        <w:rPr>
          <w:b/>
          <w:bCs/>
        </w:rPr>
        <w:t xml:space="preserve">Koszty naprawy parkietu (wg Wynajmującego):</w:t>
      </w:r>
      <w:r>
        <w:t xml:space="preserve"> </w:t>
      </w:r>
      <w:r>
        <w:t xml:space="preserve">1 800,00 zł (wycena firmy P. S.A.) [Źródło 1].</w:t>
      </w:r>
    </w:p>
    <w:p>
      <w:pPr>
        <w:pStyle w:val="Compact"/>
        <w:numPr>
          <w:ilvl w:val="0"/>
          <w:numId w:val="1001"/>
        </w:numPr>
      </w:pPr>
      <w:r>
        <w:rPr>
          <w:b/>
          <w:bCs/>
        </w:rPr>
        <w:t xml:space="preserve">Łączna kwota potrącona przez Wynajmującego:</w:t>
      </w:r>
      <w:r>
        <w:t xml:space="preserve"> </w:t>
      </w:r>
      <w:r>
        <w:t xml:space="preserve">5 700,00 zł [Źródło 1].</w:t>
      </w:r>
    </w:p>
    <w:p>
      <w:pPr>
        <w:pStyle w:val="Compact"/>
        <w:numPr>
          <w:ilvl w:val="0"/>
          <w:numId w:val="1001"/>
        </w:numPr>
      </w:pPr>
      <w:r>
        <w:rPr>
          <w:b/>
          <w:bCs/>
        </w:rPr>
        <w:t xml:space="preserve">Kwota zwrócona przez Wynajmującego:</w:t>
      </w:r>
      <w:r>
        <w:t xml:space="preserve"> </w:t>
      </w:r>
      <w:r>
        <w:t xml:space="preserve">1 500,00 zł [Źródło 1].</w:t>
      </w:r>
    </w:p>
    <w:p>
      <w:pPr>
        <w:pStyle w:val="Compact"/>
        <w:numPr>
          <w:ilvl w:val="0"/>
          <w:numId w:val="1001"/>
        </w:numPr>
      </w:pPr>
      <w:r>
        <w:rPr>
          <w:b/>
          <w:bCs/>
        </w:rPr>
        <w:t xml:space="preserve">Lokal zdany:</w:t>
      </w:r>
      <w:r>
        <w:t xml:space="preserve"> </w:t>
      </w:r>
      <w:r>
        <w:t xml:space="preserve">5 stycznia 2024 r. [Źródło 1].</w:t>
      </w:r>
    </w:p>
    <w:p>
      <w:pPr>
        <w:pStyle w:val="Compact"/>
        <w:numPr>
          <w:ilvl w:val="0"/>
          <w:numId w:val="1001"/>
        </w:numPr>
      </w:pPr>
      <w:r>
        <w:rPr>
          <w:b/>
          <w:bCs/>
        </w:rPr>
        <w:t xml:space="preserve">Informacja o potrąceniach od Wynajmującego:</w:t>
      </w:r>
      <w:r>
        <w:t xml:space="preserve"> </w:t>
      </w:r>
      <w:r>
        <w:t xml:space="preserve">25 stycznia 2024 r. [Źródło 1].</w:t>
      </w:r>
    </w:p>
    <w:p>
      <w:pPr>
        <w:pStyle w:val="Compact"/>
        <w:numPr>
          <w:ilvl w:val="0"/>
          <w:numId w:val="1001"/>
        </w:numPr>
      </w:pPr>
      <w:r>
        <w:rPr>
          <w:b/>
          <w:bCs/>
        </w:rPr>
        <w:t xml:space="preserve">Żądana przez Klientkę kwota zwrotu kaucji:</w:t>
      </w:r>
      <w:r>
        <w:t xml:space="preserve"> </w:t>
      </w:r>
      <w:r>
        <w:t xml:space="preserve">4 200,00 zł [Źródło 1].</w:t>
      </w:r>
    </w:p>
    <w:bookmarkEnd w:id="11"/>
    <w:bookmarkStart w:id="12" w:name="żądania-i-twierdzenia-stron"/>
    <w:p>
      <w:pPr>
        <w:pStyle w:val="Heading2"/>
      </w:pPr>
      <w:r>
        <w:t xml:space="preserve">Żądania i twierdzenia stron</w:t>
      </w:r>
    </w:p>
    <w:p>
      <w:pPr>
        <w:pStyle w:val="Compact"/>
        <w:numPr>
          <w:ilvl w:val="0"/>
          <w:numId w:val="1002"/>
        </w:numPr>
      </w:pPr>
      <w:r>
        <w:rPr>
          <w:b/>
          <w:bCs/>
        </w:rPr>
        <w:t xml:space="preserve">Strona Klientki (A. K.):</w:t>
      </w:r>
    </w:p>
    <w:p>
      <w:pPr>
        <w:pStyle w:val="Compact"/>
        <w:numPr>
          <w:ilvl w:val="1"/>
          <w:numId w:val="1003"/>
        </w:numPr>
      </w:pPr>
      <w:r>
        <w:rPr>
          <w:b/>
          <w:bCs/>
        </w:rPr>
        <w:t xml:space="preserve">Żądanie:</w:t>
      </w:r>
      <w:r>
        <w:t xml:space="preserve"> </w:t>
      </w:r>
      <w:r>
        <w:t xml:space="preserve">Zwrot pozostałej kwoty 4 200,00 zł z wpłaconej kaucji, wraz z odsetkami ustawowymi za opóźnienie oraz rekompensatą za bezpodstawne potrącenie i opóźnienie w zwrocie [Źródło 1].</w:t>
      </w:r>
    </w:p>
    <w:p>
      <w:pPr>
        <w:pStyle w:val="Compact"/>
        <w:numPr>
          <w:ilvl w:val="1"/>
          <w:numId w:val="1003"/>
        </w:numPr>
      </w:pPr>
      <w:r>
        <w:rPr>
          <w:b/>
          <w:bCs/>
        </w:rPr>
        <w:t xml:space="preserve">Twierdzenia:</w:t>
      </w:r>
    </w:p>
    <w:p>
      <w:pPr>
        <w:pStyle w:val="Compact"/>
        <w:numPr>
          <w:ilvl w:val="2"/>
          <w:numId w:val="1004"/>
        </w:numPr>
      </w:pPr>
      <w:r>
        <w:t xml:space="preserve">Kwestionuje zasadność oraz wysokość potrąceń dokonanych przez Wynajmującego [Źródło 1].</w:t>
      </w:r>
    </w:p>
    <w:p>
      <w:pPr>
        <w:pStyle w:val="Compact"/>
        <w:numPr>
          <w:ilvl w:val="2"/>
          <w:numId w:val="1004"/>
        </w:numPr>
      </w:pPr>
      <w:r>
        <w:t xml:space="preserve">Posiada własne zdjęcia lokalu z dnia zdania (5 stycznia 2024 r.), które wskazują na brak poważnych zniszczeń, a jedynie normalne zużycie [Źródło 1].</w:t>
      </w:r>
    </w:p>
    <w:p>
      <w:pPr>
        <w:pStyle w:val="Compact"/>
        <w:numPr>
          <w:ilvl w:val="2"/>
          <w:numId w:val="1004"/>
        </w:numPr>
      </w:pPr>
      <w:r>
        <w:t xml:space="preserve">Twierdzi, że czynsz za październik 2023 r. został uregulowany [Źródło 1].</w:t>
      </w:r>
    </w:p>
    <w:p>
      <w:pPr>
        <w:pStyle w:val="Compact"/>
        <w:numPr>
          <w:ilvl w:val="2"/>
          <w:numId w:val="1004"/>
        </w:numPr>
      </w:pPr>
      <w:r>
        <w:t xml:space="preserve">Uważa, że zapisy umowy dotyczące wysokości kaucji i zakresu potrąceń mogą być nieskuteczne/abuzywne ze względu na jej status konsumentki.</w:t>
      </w:r>
    </w:p>
    <w:p>
      <w:pPr>
        <w:pStyle w:val="Compact"/>
        <w:numPr>
          <w:ilvl w:val="0"/>
          <w:numId w:val="1002"/>
        </w:numPr>
      </w:pPr>
      <w:r>
        <w:rPr>
          <w:b/>
          <w:bCs/>
        </w:rPr>
        <w:t xml:space="preserve">Strona Wynajmującego (Pan M. G.):</w:t>
      </w:r>
    </w:p>
    <w:p>
      <w:pPr>
        <w:pStyle w:val="Compact"/>
        <w:numPr>
          <w:ilvl w:val="1"/>
          <w:numId w:val="1005"/>
        </w:numPr>
      </w:pPr>
      <w:r>
        <w:rPr>
          <w:b/>
          <w:bCs/>
        </w:rPr>
        <w:t xml:space="preserve">Żądanie/Stanowisko:</w:t>
      </w:r>
      <w:r>
        <w:t xml:space="preserve"> </w:t>
      </w:r>
      <w:r>
        <w:t xml:space="preserve">Utrzymuje, że miał prawo do dokonanych potrąceń z kaucji w kwocie 5 700,00 zł [Źródło 1].</w:t>
      </w:r>
    </w:p>
    <w:p>
      <w:pPr>
        <w:pStyle w:val="Compact"/>
        <w:numPr>
          <w:ilvl w:val="1"/>
          <w:numId w:val="1005"/>
        </w:numPr>
      </w:pPr>
      <w:r>
        <w:rPr>
          <w:b/>
          <w:bCs/>
        </w:rPr>
        <w:t xml:space="preserve">Twierdzenia:</w:t>
      </w:r>
    </w:p>
    <w:p>
      <w:pPr>
        <w:pStyle w:val="Compact"/>
        <w:numPr>
          <w:ilvl w:val="2"/>
          <w:numId w:val="1006"/>
        </w:numPr>
      </w:pPr>
      <w:r>
        <w:t xml:space="preserve">Potrącenia są uzasadnione zaległościami czynszowymi (2 400,00 zł za październik 2023 r.) [Źródło 1].</w:t>
      </w:r>
    </w:p>
    <w:p>
      <w:pPr>
        <w:pStyle w:val="Compact"/>
        <w:numPr>
          <w:ilvl w:val="2"/>
          <w:numId w:val="1006"/>
        </w:numPr>
      </w:pPr>
      <w:r>
        <w:t xml:space="preserve">Potrącenia obejmują koszty usunięcia szkód (zapach tytoniu wymagający ozonowania 1 500,00 zł) oraz naprawy parkietu (1 800,00 zł), które, jego zdaniem, wykraczały poza normalne zużycie lokalu [Źródło 1].</w:t>
      </w:r>
    </w:p>
    <w:p>
      <w:pPr>
        <w:pStyle w:val="Compact"/>
        <w:numPr>
          <w:ilvl w:val="2"/>
          <w:numId w:val="1006"/>
        </w:numPr>
      </w:pPr>
      <w:r>
        <w:t xml:space="preserve">Powołuje się na §7 umowy najmu, który zezwala na potrącanie z kaucji</w:t>
      </w:r>
      <w:r>
        <w:t xml:space="preserve"> </w:t>
      </w:r>
      <w:r>
        <w:t xml:space="preserve">“wszelkich należności”</w:t>
      </w:r>
      <w:r>
        <w:t xml:space="preserve"> </w:t>
      </w:r>
      <w:r>
        <w:t xml:space="preserve">z tytułu niewykonania umowy, w tym zaległego czynszu, kosztów usunięcia szkód oraz odnowienia lokalu [Źródło 1].</w:t>
      </w:r>
    </w:p>
    <w:p>
      <w:pPr>
        <w:pStyle w:val="Compact"/>
        <w:numPr>
          <w:ilvl w:val="2"/>
          <w:numId w:val="1006"/>
        </w:numPr>
      </w:pPr>
      <w:r>
        <w:t xml:space="preserve">Przedstawił fakturę od firmy C. sp. z o.o. za ozonowanie i wycenę od firmy P. S.A. za naprawę parkietu [Źródło 1].</w:t>
      </w:r>
    </w:p>
    <w:bookmarkEnd w:id="12"/>
    <w:bookmarkStart w:id="24" w:name="X02acaefb990b8ae98979d7443b158aaff487164"/>
    <w:p>
      <w:pPr>
        <w:pStyle w:val="Heading2"/>
      </w:pPr>
      <w:r>
        <w:t xml:space="preserve">Opinia prawna i ocena zagadnień z części III kazusu</w:t>
      </w:r>
    </w:p>
    <w:p>
      <w:pPr>
        <w:pStyle w:val="FirstParagraph"/>
      </w:pPr>
      <w:r>
        <w:t xml:space="preserve">Poniżej przedstawiamy szczegółową analizę zagadnień wskazanych w części III kazusu, w oparciu o obowiązujące przepisy prawa i dostępne orzecznictwo.</w:t>
      </w:r>
    </w:p>
    <w:bookmarkStart w:id="13" w:name="X013b2566b6b9ccd071bdec797c0ff7e6c100a0f"/>
    <w:p>
      <w:pPr>
        <w:pStyle w:val="Heading3"/>
      </w:pPr>
      <w:r>
        <w:t xml:space="preserve">1. Kwalifikacja prawna stanu faktycznego, ocena ważności/skuteczności kluczowych postanowień umowy i czynności stron, zastosowanie właściwych przepisów</w:t>
      </w:r>
    </w:p>
    <w:p>
      <w:pPr>
        <w:pStyle w:val="FirstParagraph"/>
      </w:pPr>
      <w:r>
        <w:t xml:space="preserve">Stan faktyczny dotyczy umowy najmu lokalu mieszkalnego, gdzie stronami są konsument (Najemczyni) i profesjonalista (Wynajmujący). Taka kwalifikacja jest kluczowa dla zastosowania przepisów chroniących konsumentów.</w:t>
      </w:r>
    </w:p>
    <w:p>
      <w:pPr>
        <w:pStyle w:val="Compact"/>
        <w:numPr>
          <w:ilvl w:val="0"/>
          <w:numId w:val="1007"/>
        </w:numPr>
      </w:pPr>
      <w:r>
        <w:rPr>
          <w:b/>
          <w:bCs/>
        </w:rPr>
        <w:t xml:space="preserve">Status stron:</w:t>
      </w:r>
      <w:r>
        <w:t xml:space="preserve"> </w:t>
      </w:r>
      <w:r>
        <w:t xml:space="preserve">A. K. jest konsumentem. Pan M. G., jako wynajmujący lokal mieszkalny w ramach prawdopodobnie prowadzonej działalności (co jest domyślnym założeniem w przypadku profesjonalnego wynajmu i powtarzających się czynności), powinien być traktowany jako przedsiębiorca.</w:t>
      </w:r>
    </w:p>
    <w:p>
      <w:pPr>
        <w:pStyle w:val="Compact"/>
        <w:numPr>
          <w:ilvl w:val="0"/>
          <w:numId w:val="1007"/>
        </w:numPr>
      </w:pPr>
      <w:r>
        <w:rPr>
          <w:b/>
          <w:bCs/>
        </w:rPr>
        <w:t xml:space="preserve">Rodzaj umowy:</w:t>
      </w:r>
      <w:r>
        <w:t xml:space="preserve"> </w:t>
      </w:r>
      <w:r>
        <w:t xml:space="preserve">Umowa najmu lokalu mieszkalnego, regulowana przepisami Kodeksu cywilnego (m.in. art. 659-692 k.c.) oraz, co kluczowe, ustawą z dnia 21 czerwca 2001 r. o ochronie praw lokatorów, mieszkaniowym zasobie gminy i o zmianie Kodeksu cywilnego.</w:t>
      </w:r>
    </w:p>
    <w:p>
      <w:pPr>
        <w:pStyle w:val="FirstParagraph"/>
      </w:pPr>
      <w:r>
        <w:rPr>
          <w:b/>
          <w:bCs/>
        </w:rPr>
        <w:t xml:space="preserve">Ocena ważności/skuteczności §7 ust. 1-3 Umowy (kaucja trzykrotna i uprawnienie do potrąceń</w:t>
      </w:r>
      <w:r>
        <w:rPr>
          <w:b/>
          <w:bCs/>
        </w:rPr>
        <w:t xml:space="preserve"> </w:t>
      </w:r>
      <w:r>
        <w:rPr>
          <w:b/>
          <w:bCs/>
        </w:rPr>
        <w:t xml:space="preserve">“wszelkich należności”</w:t>
      </w:r>
      <w:r>
        <w:rPr>
          <w:b/>
          <w:bCs/>
        </w:rPr>
        <w:t xml:space="preserve">):</w:t>
      </w:r>
    </w:p>
    <w:p>
      <w:pPr>
        <w:pStyle w:val="Compact"/>
        <w:numPr>
          <w:ilvl w:val="0"/>
          <w:numId w:val="1008"/>
        </w:numPr>
      </w:pPr>
      <w:r>
        <w:rPr>
          <w:b/>
          <w:bCs/>
        </w:rPr>
        <w:t xml:space="preserve">Ustawa o ochronie praw lokatorów, mieszkaniowym zasobie gminy i zmianie Kodeksu cywilnego (dalej</w:t>
      </w:r>
      <w:r>
        <w:rPr>
          <w:b/>
          <w:bCs/>
        </w:rPr>
        <w:t xml:space="preserve"> </w:t>
      </w:r>
      <w:r>
        <w:rPr>
          <w:b/>
          <w:bCs/>
        </w:rPr>
        <w:t xml:space="preserve">“UOPL”</w:t>
      </w:r>
      <w:r>
        <w:rPr>
          <w:b/>
          <w:bCs/>
        </w:rPr>
        <w:t xml:space="preserve">):</w:t>
      </w:r>
      <w:r>
        <w:t xml:space="preserve"> </w:t>
      </w:r>
      <w:r>
        <w:t xml:space="preserve">Brak w dostarczonym materiale bloków z przepisami UOPL, które wprost regulują maksymalną wysokość kaucji czy zasady jej potrącania. Jednakże, UOPL zawiera istotne ograniczenia w tym zakresie, które mogą wpływać na ważność postanowień umownych. W praktyce, przepisy tej ustawy (art. 6 ust. 1) często limitują kaucję do dwunastokrotności miesięcznego czynszu. Brak cytowanych fragmentów UOPL w niniejszej analizie uniemożliwia precyzyjne odniesienie do konkretnych artykułów tej ustawy.</w:t>
      </w:r>
    </w:p>
    <w:p>
      <w:pPr>
        <w:pStyle w:val="Compact"/>
        <w:numPr>
          <w:ilvl w:val="0"/>
          <w:numId w:val="1008"/>
        </w:numPr>
      </w:pPr>
      <w:r>
        <w:rPr>
          <w:b/>
          <w:bCs/>
        </w:rPr>
        <w:t xml:space="preserve">Potencjalne zastosowanie przepisów o klauzulach abuzywnych (art. 385¹ i nast. k.c.):</w:t>
      </w:r>
    </w:p>
    <w:p>
      <w:pPr>
        <w:pStyle w:val="Compact"/>
        <w:numPr>
          <w:ilvl w:val="1"/>
          <w:numId w:val="1009"/>
        </w:numPr>
      </w:pPr>
      <w:r>
        <w:rPr>
          <w:b/>
          <w:bCs/>
        </w:rPr>
        <w:t xml:space="preserve">Art. 385¹ § 1 k.c.:</w:t>
      </w:r>
      <w:r>
        <w:t xml:space="preserve"> </w:t>
      </w:r>
      <w:r>
        <w:t xml:space="preserve">“Postanowienia umowy zawieranej z konsumentem nieuzgodnione indywidualnie nie wiążą go, jeżeli kształtują jego prawa i obowiązki w sposób sprzeczny z dobrymi obyczajami, rażąco naruszając jego interesy (niedozwolone postanowienia umowne).”</w:t>
      </w:r>
    </w:p>
    <w:p>
      <w:pPr>
        <w:pStyle w:val="Compact"/>
        <w:numPr>
          <w:ilvl w:val="1"/>
          <w:numId w:val="1009"/>
        </w:numPr>
      </w:pPr>
      <w:r>
        <w:rPr>
          <w:b/>
          <w:bCs/>
        </w:rPr>
        <w:t xml:space="preserve">Wysokość kaucji (trzykrotność czynszu):</w:t>
      </w:r>
      <w:r>
        <w:t xml:space="preserve"> </w:t>
      </w:r>
      <w:r>
        <w:t xml:space="preserve">Jeżeli w ustawie o ochronie praw lokatorów istnieje niższy limit, postanowienie §7 ust. 1 o kaucji w wysokości 7 200,00 zł (trzykrotność czynszu) może być uznane za niezgodne z przepisami tej ustawy. Jeśli brak takiego limitu w UOPL (co jest mało prawdopodobne w odniesieniu do typowej umowy najmu lokalu mieszkalnego), to samo w sobie trzykrotność czynszu nie musi być automatycznie abuzywna. Jednakże, jeżeli w realiach rynkowych typowa kaucja jest niższa (np. jednokrotność czynszu), a Wynajmujący nie udowodnił indywidualnego uzgodnienia tego postanowienia, może ono rażąco naruszać interesy konsumenta.</w:t>
      </w:r>
    </w:p>
    <w:p>
      <w:pPr>
        <w:pStyle w:val="Compact"/>
        <w:numPr>
          <w:ilvl w:val="1"/>
          <w:numId w:val="1009"/>
        </w:numPr>
      </w:pPr>
      <w:r>
        <w:rPr>
          <w:b/>
          <w:bCs/>
        </w:rPr>
        <w:t xml:space="preserve">Uprawnienie do potrąceń</w:t>
      </w:r>
      <w:r>
        <w:rPr>
          <w:b/>
          <w:bCs/>
        </w:rPr>
        <w:t xml:space="preserve"> </w:t>
      </w:r>
      <w:r>
        <w:rPr>
          <w:b/>
          <w:bCs/>
        </w:rPr>
        <w:t xml:space="preserve">“wszelkich należności”</w:t>
      </w:r>
      <w:r>
        <w:rPr>
          <w:b/>
          <w:bCs/>
        </w:rPr>
        <w:t xml:space="preserve">:</w:t>
      </w:r>
      <w:r>
        <w:t xml:space="preserve"> </w:t>
      </w:r>
      <w:r>
        <w:t xml:space="preserve">Postanowienie §7 ust. 2 i 3 umowy, zezwalające Wynajmującemu na potrącanie z kaucji</w:t>
      </w:r>
      <w:r>
        <w:t xml:space="preserve"> </w:t>
      </w:r>
      <w:r>
        <w:t xml:space="preserve">“wszelkich należności”</w:t>
      </w:r>
      <w:r>
        <w:t xml:space="preserve"> </w:t>
      </w:r>
      <w:r>
        <w:t xml:space="preserve">z tytułu niewykonania umowy, w tym zaległego czynszu, kosztów usunięcia szkód oraz odnowienia lokalu, jest wysoce problematyczne w kontekście abuzywności. Takie szerokie i ogólnikowe sformułowanie może być uznane za klauzulę niedozwoloną, ponieważ:</w:t>
      </w:r>
    </w:p>
    <w:p>
      <w:pPr>
        <w:pStyle w:val="Compact"/>
        <w:numPr>
          <w:ilvl w:val="2"/>
          <w:numId w:val="1010"/>
        </w:numPr>
      </w:pPr>
      <w:r>
        <w:rPr>
          <w:b/>
          <w:bCs/>
        </w:rPr>
        <w:t xml:space="preserve">Brak transparentności:</w:t>
      </w:r>
      <w:r>
        <w:t xml:space="preserve"> </w:t>
      </w:r>
      <w:r>
        <w:t xml:space="preserve">Nie precyzuje, jakie konkretnie należności mogą być potrącone i na jakich zasadach.</w:t>
      </w:r>
    </w:p>
    <w:p>
      <w:pPr>
        <w:pStyle w:val="Compact"/>
        <w:numPr>
          <w:ilvl w:val="2"/>
          <w:numId w:val="1010"/>
        </w:numPr>
      </w:pPr>
      <w:r>
        <w:rPr>
          <w:b/>
          <w:bCs/>
        </w:rPr>
        <w:t xml:space="preserve">Naruszenie interesów konsumenta:</w:t>
      </w:r>
      <w:r>
        <w:t xml:space="preserve"> </w:t>
      </w:r>
      <w:r>
        <w:t xml:space="preserve">Daje Wynajmującemu jednostronne uprawnienie do decydowania o wysokości i zasadności potrąceń, bez konieczności udowodnienia tych roszczeń (np. za pomocą protokołu zdawczo-odbiorczego, faktur, kosztorysów zaakceptowanych przez Najemczynię) i bez możliwości weryfikacji przez konsumenta. Konsument zostaje pozbawiony kontroli nad swoimi środkami.</w:t>
      </w:r>
    </w:p>
    <w:p>
      <w:pPr>
        <w:pStyle w:val="Compact"/>
        <w:numPr>
          <w:ilvl w:val="2"/>
          <w:numId w:val="1010"/>
        </w:numPr>
      </w:pPr>
      <w:r>
        <w:rPr>
          <w:b/>
          <w:bCs/>
        </w:rPr>
        <w:t xml:space="preserve">Sprzeczność z dobrymi obyczajami:</w:t>
      </w:r>
      <w:r>
        <w:t xml:space="preserve"> </w:t>
      </w:r>
      <w:r>
        <w:t xml:space="preserve">Umożliwia potrącanie roszczeń spornych, nieudowodnionych lub niewymagalnych, a także tych, które wynikają z normalnego zużycia lokalu.</w:t>
      </w:r>
    </w:p>
    <w:p>
      <w:pPr>
        <w:pStyle w:val="Compact"/>
        <w:numPr>
          <w:ilvl w:val="1"/>
          <w:numId w:val="1009"/>
        </w:numPr>
      </w:pPr>
      <w:r>
        <w:rPr>
          <w:b/>
          <w:bCs/>
        </w:rPr>
        <w:t xml:space="preserve">Wnioski:</w:t>
      </w:r>
      <w:r>
        <w:t xml:space="preserve"> </w:t>
      </w:r>
      <w:r>
        <w:t xml:space="preserve">Istnieje wysokie prawdopodobieństwo uznania postanowień §7 ust. 2 i 3 za niedozwolone klauzule umowne (abuzywne) na podstawie art. 385¹ k.c. Niewiążący charakter takiej klauzuli oznaczałby, że Wynajmujący nie mógł jednostronnie dokonać potrąceń na jej podstawie. Nawet jeśli klauzula o wysokości kaucji (3x czynszu) byłaby formalnie dopuszczalna w świetle UOPL, to jej szerokie uprawnienie do potrąceń</w:t>
      </w:r>
      <w:r>
        <w:t xml:space="preserve"> </w:t>
      </w:r>
      <w:r>
        <w:t xml:space="preserve">“wszelkich należności”</w:t>
      </w:r>
      <w:r>
        <w:t xml:space="preserve"> </w:t>
      </w:r>
      <w:r>
        <w:t xml:space="preserve">nadal może być uznane za abuzywne.</w:t>
      </w:r>
    </w:p>
    <w:bookmarkEnd w:id="13"/>
    <w:bookmarkStart w:id="14" w:name="X20b6894c080c1c427e753551a4fe25120e373fd"/>
    <w:p>
      <w:pPr>
        <w:pStyle w:val="Heading3"/>
      </w:pPr>
      <w:r>
        <w:t xml:space="preserve">2. Prawne granice wysokości kaucji zabezpieczającej – czy Wynajmujący mógł pobrać trzykrotność czynszu (7 200,00 zł)?</w:t>
      </w:r>
    </w:p>
    <w:p>
      <w:pPr>
        <w:pStyle w:val="FirstParagraph"/>
      </w:pPr>
      <w:r>
        <w:t xml:space="preserve">Jak wspomniano powyżej, kluczowe są tu przepisy ustawy o ochronie praw lokatorów, mieszkaniowym zasobie gminy i o zmianie Kodeksu cywilnego. Bez konkretnego brzmienia art. 6 UOPL w dostarczonym kontekście nie można jednoznacznie stwierdzić, czy kwota 7 200,00 zł (trzykrotność czynszu) przekracza ustawowy limit.</w:t>
      </w:r>
      <w:r>
        <w:t xml:space="preserve"> </w:t>
      </w:r>
      <w:r>
        <w:t xml:space="preserve">W praktyce, UOPL określa maksymalną wysokość kaucji, zazwyczaj do dwunastokrotności miesięcznego czynszu dla najmu okazjonalnego lub dwunastokrotności miesięcznego czynszu za dany lokal dla</w:t>
      </w:r>
      <w:r>
        <w:t xml:space="preserve"> </w:t>
      </w:r>
      <w:r>
        <w:t xml:space="preserve">“zwykłego”</w:t>
      </w:r>
      <w:r>
        <w:t xml:space="preserve"> </w:t>
      </w:r>
      <w:r>
        <w:t xml:space="preserve">najmu. W przypadku najmu lokali mieszkalnych, często w ustawie o ochronie praw lokatorów (art. 6 ust. 1) kaucja jest limitowana do 12-krotności miesięcznego czynszu za dany lokal. Trzykrotność czynszu mieściłaby się w tym ogólnym limicie.</w:t>
      </w:r>
      <w:r>
        <w:t xml:space="preserve"> </w:t>
      </w:r>
      <w:r>
        <w:t xml:space="preserve">Jednak, nawet jeśli wysokość kaucji mieści się w limitach ustawowych, to tak jak w punkcie 1, zawsze pozostaje kwestia indywidualnego uzgodnienia postanowienia oraz oceny jego abuzywności w kontekście Art. 385¹ k.c., jeśli rażąco narusza interesy konsumenta.</w:t>
      </w:r>
      <w:r>
        <w:t xml:space="preserve"> </w:t>
      </w:r>
      <w:r>
        <w:rPr>
          <w:b/>
          <w:bCs/>
        </w:rPr>
        <w:t xml:space="preserve">Wniosek:</w:t>
      </w:r>
      <w:r>
        <w:t xml:space="preserve"> </w:t>
      </w:r>
      <w:r>
        <w:t xml:space="preserve">Bez konkretnych przepisów UOPL w dostarczonym stanie prawnym, nie można jednoznacznie ocenić, czy kwota 7 200,00 zł jest dopuszczalna. Jeśli jednak istnieją przepisy w UOPL (nieobjęte dostarczonym kontekstem), które nakładają niższe limity, klauzula może być nieważna w części przekraczającej ten limit. Niezależnie od ustawowych limitów, klauzula może być uznana za nadmiernie uciążliwą i abuzywną w oparciu o art. 385¹ k.c. z uwagi na brak jej indywidualnego uzgodnienia i rażące naruszenie interesów konsumenta.</w:t>
      </w:r>
    </w:p>
    <w:bookmarkEnd w:id="14"/>
    <w:bookmarkStart w:id="15" w:name="X089e1153b9e13c0439129c72fe7d5266582fc99"/>
    <w:p>
      <w:pPr>
        <w:pStyle w:val="Heading3"/>
      </w:pPr>
      <w:r>
        <w:t xml:space="preserve">3. Prawo Wynajmującego do jednostronnych potrąceń z kaucji (zaległy czynsz, ozonowanie, naprawa parkietu)</w:t>
      </w:r>
    </w:p>
    <w:p>
      <w:pPr>
        <w:pStyle w:val="FirstParagraph"/>
      </w:pPr>
      <w:r>
        <w:t xml:space="preserve">Wynajmujący jednostronnie potrącił z kaucji kwoty: (a) 2 400,00 zł za zaległy czynsz, (b) 1 500,00 zł za ozonowanie, (c) 1 800,00 zł za naprawę parkietu [Źródło 1].</w:t>
      </w:r>
    </w:p>
    <w:p>
      <w:pPr>
        <w:pStyle w:val="Compact"/>
        <w:numPr>
          <w:ilvl w:val="0"/>
          <w:numId w:val="1011"/>
        </w:numPr>
      </w:pPr>
      <w:r>
        <w:rPr>
          <w:b/>
          <w:bCs/>
        </w:rPr>
        <w:t xml:space="preserve">Zasady potrącenia (kompensacji):</w:t>
      </w:r>
      <w:r>
        <w:t xml:space="preserve"> </w:t>
      </w:r>
      <w:r>
        <w:t xml:space="preserve">Zgodnie z art. 498 § 1 Kodeksu cywilnego, gdy dwie osoby są jednocześnie względem siebie dłużnikami i wierzycielami, każda z nich może potrącić swoją wierzytelność z wierzytelności drugiej strony, jeżeli przedmiotem obu wierzytelności są pieniądze lub rzeczy tej samej jakości oznaczone tylko co do gatunku, a obie wierzytelności są wymagalne i mogą być dochodzone przed sądem lub przed innym organem państwowym.</w:t>
      </w:r>
    </w:p>
    <w:p>
      <w:pPr>
        <w:pStyle w:val="Compact"/>
        <w:numPr>
          <w:ilvl w:val="1"/>
          <w:numId w:val="1012"/>
        </w:numPr>
      </w:pPr>
      <w:r>
        <w:rPr>
          <w:b/>
          <w:bCs/>
        </w:rPr>
        <w:t xml:space="preserve">Wymagalność wierzytelności Wynajmującego:</w:t>
      </w:r>
      <w:r>
        <w:t xml:space="preserve"> </w:t>
      </w:r>
      <w:r>
        <w:t xml:space="preserve">Aby Wynajmujący mógł skutecznie potrącić swoje wierzytelności, musiałyby być one wymagalne i bezsporne (lub stwierdzone orzeczeniem sądu).</w:t>
      </w:r>
    </w:p>
    <w:p>
      <w:pPr>
        <w:pStyle w:val="Compact"/>
        <w:numPr>
          <w:ilvl w:val="0"/>
          <w:numId w:val="1011"/>
        </w:numPr>
      </w:pPr>
      <w:r>
        <w:rPr>
          <w:b/>
          <w:bCs/>
        </w:rPr>
        <w:t xml:space="preserve">(a) Zaległy czynsz za październik 2023 r. (2 400,00 zł):</w:t>
      </w:r>
    </w:p>
    <w:p>
      <w:pPr>
        <w:pStyle w:val="Compact"/>
        <w:numPr>
          <w:ilvl w:val="1"/>
          <w:numId w:val="1013"/>
        </w:numPr>
      </w:pPr>
      <w:r>
        <w:rPr>
          <w:b/>
          <w:bCs/>
        </w:rPr>
        <w:t xml:space="preserve">Obowiązki dowodowe:</w:t>
      </w:r>
      <w:r>
        <w:t xml:space="preserve"> </w:t>
      </w:r>
      <w:r>
        <w:t xml:space="preserve">Wynajmujący musi udowodnić, że czynsz za październik 2023 r. faktycznie nie został uregulowany.</w:t>
      </w:r>
    </w:p>
    <w:p>
      <w:pPr>
        <w:pStyle w:val="Compact"/>
        <w:numPr>
          <w:ilvl w:val="1"/>
          <w:numId w:val="1013"/>
        </w:numPr>
      </w:pPr>
      <w:r>
        <w:rPr>
          <w:b/>
          <w:bCs/>
        </w:rPr>
        <w:t xml:space="preserve">Stanowisko Klientki:</w:t>
      </w:r>
      <w:r>
        <w:t xml:space="preserve"> </w:t>
      </w:r>
      <w:r>
        <w:t xml:space="preserve">Klientka twierdzi, że czynsz ten został zapłacony [Źródło 1]. Jeśli Klientka przedstawi dowód zapłaty (np. potwierdzenie przelewu), potrącenie to jest bezpodstawne. W takim przypadku, Wynajmujący nie miał prawa do potrącenia tej kwoty.</w:t>
      </w:r>
    </w:p>
    <w:p>
      <w:pPr>
        <w:pStyle w:val="Compact"/>
        <w:numPr>
          <w:ilvl w:val="1"/>
          <w:numId w:val="1013"/>
        </w:numPr>
      </w:pPr>
      <w:r>
        <w:rPr>
          <w:b/>
          <w:bCs/>
        </w:rPr>
        <w:t xml:space="preserve">Zastosowanie Art. 6 k.c.:</w:t>
      </w:r>
      <w:r>
        <w:t xml:space="preserve"> </w:t>
      </w:r>
      <w:r>
        <w:t xml:space="preserve">Ciężar dowodu spoczywa na Wynajmującym, który wywodzi skutki prawne z faktu niezapłacenia czynszu.</w:t>
      </w:r>
    </w:p>
    <w:p>
      <w:pPr>
        <w:pStyle w:val="Compact"/>
        <w:numPr>
          <w:ilvl w:val="0"/>
          <w:numId w:val="1011"/>
        </w:numPr>
      </w:pPr>
      <w:r>
        <w:rPr>
          <w:b/>
          <w:bCs/>
        </w:rPr>
        <w:t xml:space="preserve">(b) Koszty ozonowania 1 500,00 zł i (c) koszt naprawy parkietu 1 800,00 zł:</w:t>
      </w:r>
    </w:p>
    <w:p>
      <w:pPr>
        <w:pStyle w:val="Compact"/>
        <w:numPr>
          <w:ilvl w:val="1"/>
          <w:numId w:val="1014"/>
        </w:numPr>
      </w:pPr>
      <w:r>
        <w:rPr>
          <w:b/>
          <w:bCs/>
        </w:rPr>
        <w:t xml:space="preserve">Obowiązki dowodowe Wynajmującego:</w:t>
      </w:r>
    </w:p>
    <w:p>
      <w:pPr>
        <w:pStyle w:val="Compact"/>
        <w:numPr>
          <w:ilvl w:val="2"/>
          <w:numId w:val="1015"/>
        </w:numPr>
      </w:pPr>
      <w:r>
        <w:t xml:space="preserve">Wynajmujący musi udowodnić, że szkody (zapach tytoniu, uszkodzony parkiet) faktycznie wystąpiły i wykraczały poza normalne zużycie lokalu, do którego Najemczyni jest uprawniona w ramach zwykłego używania rzeczy najętej.</w:t>
      </w:r>
    </w:p>
    <w:p>
      <w:pPr>
        <w:pStyle w:val="Compact"/>
        <w:numPr>
          <w:ilvl w:val="2"/>
          <w:numId w:val="1015"/>
        </w:numPr>
      </w:pPr>
      <w:r>
        <w:t xml:space="preserve">Musi również udowodnić wysokość tych szkód. Posiadanie faktury (ozonowanie) i wyceny (parkiet) jest dowodem w rozumieniu art. 232 k.p.c. (strony są obowiązane wskazywać dowody dla stwierdzenia faktów, z których wywodzą skutki prawne), ale nie przesądza o zasadności i wysokości roszczenia w przypadku sporu.</w:t>
      </w:r>
    </w:p>
    <w:p>
      <w:pPr>
        <w:pStyle w:val="Compact"/>
        <w:numPr>
          <w:ilvl w:val="1"/>
          <w:numId w:val="1014"/>
        </w:numPr>
      </w:pPr>
      <w:r>
        <w:rPr>
          <w:b/>
          <w:bCs/>
        </w:rPr>
        <w:t xml:space="preserve">Brak protokołu zdawczo-odbiorczego:</w:t>
      </w:r>
      <w:r>
        <w:t xml:space="preserve"> </w:t>
      </w:r>
      <w:r>
        <w:t xml:space="preserve">Kluczową kwestią jest brak sporządzenia nowego protokołu zdawczo-odbiorczego przy zdaniu lokalu 5 stycznia 2024 r. [Źródło 1]. Brak protokołu znacząco utrudnia Wynajmującemu udowodnienie stanu lokalu w momencie jego przejęcia przez Najemczynię oraz w momencie jego zwrotu. W takiej sytuacji trudniej jest wykazać, że szkody powstały w okresie najmu i że nie były wynikiem normalnego zużycia. Orzecznictwo wskazuje, że brak protokołu może obciążać wynajmującego w zakresie dowodzenia stanu lokalu (por. np. Sąd Rejonowy w Rawie Mazowieckiej w wyroku I C 695/16 [1] podkreśla, że powód musi udowodnić twierdzenia faktyczne uzasadniające żądanie, co odnosi się również do istnienia i wysokości zobowiązania).</w:t>
      </w:r>
    </w:p>
    <w:p>
      <w:pPr>
        <w:pStyle w:val="Compact"/>
        <w:numPr>
          <w:ilvl w:val="1"/>
          <w:numId w:val="1014"/>
        </w:numPr>
      </w:pPr>
      <w:r>
        <w:rPr>
          <w:b/>
          <w:bCs/>
        </w:rPr>
        <w:t xml:space="preserve">Normalne zużycie a szkody:</w:t>
      </w:r>
      <w:r>
        <w:t xml:space="preserve"> </w:t>
      </w:r>
      <w:r>
        <w:t xml:space="preserve">Najemca odpowiada za szkody wynikające z niewłaściwego używania rzeczy, ale nie odpowiada za normalne zużycie rzeczy zgodnie z jej przeznaczeniem. Zadaniem sądu będzie ocena, czy szkody na parkiecie i konieczność ozonowania wykraczały poza normalne zużycie. Zdjęcia Klientki będą tu istotne.</w:t>
      </w:r>
    </w:p>
    <w:p>
      <w:pPr>
        <w:pStyle w:val="Compact"/>
        <w:numPr>
          <w:ilvl w:val="1"/>
          <w:numId w:val="1014"/>
        </w:numPr>
      </w:pPr>
      <w:r>
        <w:rPr>
          <w:b/>
          <w:bCs/>
        </w:rPr>
        <w:t xml:space="preserve">Wnioski:</w:t>
      </w:r>
      <w:r>
        <w:t xml:space="preserve"> </w:t>
      </w:r>
      <w:r>
        <w:t xml:space="preserve">Potrącenia Wynajmującego w zakresie kosztów ozonowania i naprawy parkietu są wątpliwe. Wynajmujący będzie musiał udowodnić istnienie szkód, ich zakres (przekraczający normalne zużycie) i zasadność kwot. Brak protokołu zdawczo-odbiorczego działa na jego niekorzyść. Jednostronne potrącenie tych kwot bez uprzedniego uzgodnienia z Najemczynią (konsumentem) i bez udowodnienia roszczeń może być uznane za bezpodstawne. Dodatkowo, jeśli klauzula umowna uprawniająca do potrąceń zostanie uznana za abuzywną (patrz pkt 1), to potrącenia dokonane na jej podstawie są nieskuteczne.</w:t>
      </w:r>
    </w:p>
    <w:bookmarkEnd w:id="15"/>
    <w:bookmarkStart w:id="16" w:name="terminy-procesowe-i-przedawnieniowe"/>
    <w:p>
      <w:pPr>
        <w:pStyle w:val="Heading3"/>
      </w:pPr>
      <w:r>
        <w:t xml:space="preserve">4. Terminy procesowe i przedawnieniowe</w:t>
      </w:r>
    </w:p>
    <w:p>
      <w:pPr>
        <w:pStyle w:val="Compact"/>
        <w:numPr>
          <w:ilvl w:val="0"/>
          <w:numId w:val="1016"/>
        </w:numPr>
      </w:pPr>
      <w:r>
        <w:rPr>
          <w:b/>
          <w:bCs/>
        </w:rPr>
        <w:t xml:space="preserve">Roszczenie o zwrot kaucji:</w:t>
      </w:r>
    </w:p>
    <w:p>
      <w:pPr>
        <w:pStyle w:val="Compact"/>
        <w:numPr>
          <w:ilvl w:val="1"/>
          <w:numId w:val="1017"/>
        </w:numPr>
      </w:pPr>
      <w:r>
        <w:t xml:space="preserve">W odniesieniu do terminu zwrotu kaucji, UOPL (przepis, którego brak w dostarczonym kontekście) zwykle przewiduje termin zwrotu kaucji w ciągu miesiąca od dnia opróżnienia lokalu lub nabycia jego posiadania przez wynajmującego, po potrąceniu należności Wynajmującego.</w:t>
      </w:r>
    </w:p>
    <w:p>
      <w:pPr>
        <w:pStyle w:val="Compact"/>
        <w:numPr>
          <w:ilvl w:val="1"/>
          <w:numId w:val="1017"/>
        </w:numPr>
      </w:pPr>
      <w:r>
        <w:t xml:space="preserve">Lokal został zdany 5 stycznia 2024 r. [Źródło 1]. Wynajmujący poinformował o potrąceniach 25 stycznia 2024 r. i zwrócił część kaucji [Źródło 1].</w:t>
      </w:r>
    </w:p>
    <w:p>
      <w:pPr>
        <w:pStyle w:val="Compact"/>
        <w:numPr>
          <w:ilvl w:val="1"/>
          <w:numId w:val="1017"/>
        </w:numPr>
      </w:pPr>
      <w:r>
        <w:rPr>
          <w:b/>
          <w:bCs/>
        </w:rPr>
        <w:t xml:space="preserve">Przedawnienie:</w:t>
      </w:r>
      <w:r>
        <w:t xml:space="preserve"> </w:t>
      </w:r>
      <w:r>
        <w:t xml:space="preserve">Roszczenia wynikające z umowy najmu, w tym roszczenie o zwrot kaucji, przedawniają się zgodnie z ogólnymi zasadami Kodeksu cywilnego. Roszczenia związane z prowadzeniem działalności gospodarczej przedawniają się z upływem trzech lat (art. 118 k.c.). Założenie jest takie, że Wynajmujący jest przedsiębiorcą. Bieg terminu przedawnienia rozpoczyna się od dnia wymagalności roszczenia (art. 120 § 1 k.c.). Jeżeli Wynajmujący dokonał częściowego zwrotu kaucji 25 stycznia 2024 r. (i poinformował o potrąceniach), to pozostała kwota stała się wymagalna w tym dniu lub wkrótce po nim. Termin przedawnienia dla roszczenia Klientki o zwrot kaucji rozpoczyna się zatem od końca stycznia 2024 r. i upłynie z końcem stycznia 2027 r.</w:t>
      </w:r>
    </w:p>
    <w:p>
      <w:pPr>
        <w:pStyle w:val="Compact"/>
        <w:numPr>
          <w:ilvl w:val="0"/>
          <w:numId w:val="1016"/>
        </w:numPr>
      </w:pPr>
      <w:r>
        <w:rPr>
          <w:b/>
          <w:bCs/>
        </w:rPr>
        <w:t xml:space="preserve">Roszczenia Wynajmującego (czynsz i odszkodowanie za szkody):</w:t>
      </w:r>
    </w:p>
    <w:p>
      <w:pPr>
        <w:pStyle w:val="Compact"/>
        <w:numPr>
          <w:ilvl w:val="1"/>
          <w:numId w:val="1018"/>
        </w:numPr>
      </w:pPr>
      <w:r>
        <w:rPr>
          <w:b/>
          <w:bCs/>
        </w:rPr>
        <w:t xml:space="preserve">Czynsz:</w:t>
      </w:r>
      <w:r>
        <w:t xml:space="preserve"> </w:t>
      </w:r>
      <w:r>
        <w:t xml:space="preserve">Roszczenia o świadczenia okresowe (jak czynsz) przedawniają się z upływem trzech lat (art. 118 k.c.). Roszczenie o czynsz za październik 2023 r. przedawni się w październiku 2026 r.</w:t>
      </w:r>
    </w:p>
    <w:p>
      <w:pPr>
        <w:pStyle w:val="Compact"/>
        <w:numPr>
          <w:ilvl w:val="1"/>
          <w:numId w:val="1018"/>
        </w:numPr>
      </w:pPr>
      <w:r>
        <w:rPr>
          <w:b/>
          <w:bCs/>
        </w:rPr>
        <w:t xml:space="preserve">Odszkodowanie:</w:t>
      </w:r>
      <w:r>
        <w:t xml:space="preserve"> </w:t>
      </w:r>
      <w:r>
        <w:t xml:space="preserve">Roszczenia z tytułu niewykonania lub nienależytego wykonania umowy (tu: za szkody w lokalu) przedawniają się również z upływem trzech lat (art. 118 k.c.), jeśli są związane z działalnością gospodarczą obu stron, lub 10 lat (dla roszczeń niezwiązanych z działalnością gospodarczą). Bieg terminu przedawnienia dla roszczeń o odszkodowanie za szkody rozpoczyna się od dnia, w którym szkoda stała się wymagalna, tj. co do zasady od dnia zwrotu lokalu (5 stycznia 2024 r.) lub dnia, w którym Wynajmujący powziął wiadomość o szkodzie i osobie obowiązanej do jej naprawienia.</w:t>
      </w:r>
    </w:p>
    <w:p>
      <w:pPr>
        <w:pStyle w:val="Compact"/>
        <w:numPr>
          <w:ilvl w:val="0"/>
          <w:numId w:val="1016"/>
        </w:numPr>
      </w:pPr>
      <w:r>
        <w:rPr>
          <w:b/>
          <w:bCs/>
        </w:rPr>
        <w:t xml:space="preserve">Znaczenie terminów 14-dniowych:</w:t>
      </w:r>
      <w:r>
        <w:t xml:space="preserve"> </w:t>
      </w:r>
      <w:r>
        <w:t xml:space="preserve">Kazus wskazuje, że</w:t>
      </w:r>
      <w:r>
        <w:t xml:space="preserve"> </w:t>
      </w:r>
      <w:r>
        <w:t xml:space="preserve">“kwestia terminów 14-dniowych przewidzianych w umowie”</w:t>
      </w:r>
      <w:r>
        <w:t xml:space="preserve"> </w:t>
      </w:r>
      <w:r>
        <w:t xml:space="preserve">ma być analizowana [Źródło 2]. Brak w kazusie informacji o konkretnych terminach 14-dniowych. Jeśli umowa przewidywałaby np. 14-dniowy termin na rozliczenie kaucji, to jego przekroczenie skutkowałoby powstaniem opóźnienia, co uprawniałoby Klientkę do żądania odsetek ustawowych za opóźnienie (art. 481 § 1 k.c.). Jeśli brak takiego terminu, termin wymagalności roszczenia o zwrot kaucji należy ustalić na podstawie przepisów ogólnych (np. po wezwaniu do zapłaty).</w:t>
      </w:r>
    </w:p>
    <w:bookmarkEnd w:id="16"/>
    <w:bookmarkStart w:id="17" w:name="kwestie-dowodowe"/>
    <w:p>
      <w:pPr>
        <w:pStyle w:val="Heading3"/>
      </w:pPr>
      <w:r>
        <w:t xml:space="preserve">5. Kwestie dowodowe</w:t>
      </w:r>
    </w:p>
    <w:p>
      <w:pPr>
        <w:pStyle w:val="FirstParagraph"/>
      </w:pPr>
      <w:r>
        <w:t xml:space="preserve">Skuteczność roszczeń Klientki i obrona przed roszczeniami Wynajmującego zależeć będzie od zgromadzonego materiału dowodowego. Zgodnie z art. 6 k.c., ciężar udowodnienia faktu spoczywa na osobie, która z faktu tego wywodzi skutki prawne.</w:t>
      </w:r>
      <w:r>
        <w:t xml:space="preserve"> </w:t>
      </w:r>
      <w:r>
        <w:t xml:space="preserve">*</w:t>
      </w:r>
      <w:r>
        <w:t xml:space="preserve"> </w:t>
      </w:r>
      <w:r>
        <w:rPr>
          <w:b/>
          <w:bCs/>
        </w:rPr>
        <w:t xml:space="preserve">Dokumenty i dowody, które powinna zgromadzić Klientka (Najemczyni):</w:t>
      </w:r>
      <w:r>
        <w:t xml:space="preserve"> </w:t>
      </w:r>
      <w:r>
        <w:t xml:space="preserve">*</w:t>
      </w:r>
      <w:r>
        <w:t xml:space="preserve"> </w:t>
      </w:r>
      <w:r>
        <w:rPr>
          <w:b/>
          <w:bCs/>
        </w:rPr>
        <w:t xml:space="preserve">Potwierdzenia zapłat czynszu:</w:t>
      </w:r>
      <w:r>
        <w:t xml:space="preserve"> </w:t>
      </w:r>
      <w:r>
        <w:t xml:space="preserve">Wszystkie potwierdzenia przelewów bankowych za czynsz, w szczególności za październik 2023 r., aby udowodnić uregulowanie należności [Źródło 1].</w:t>
      </w:r>
      <w:r>
        <w:t xml:space="preserve"> </w:t>
      </w:r>
      <w:r>
        <w:t xml:space="preserve">*</w:t>
      </w:r>
      <w:r>
        <w:t xml:space="preserve"> </w:t>
      </w:r>
      <w:r>
        <w:rPr>
          <w:b/>
          <w:bCs/>
        </w:rPr>
        <w:t xml:space="preserve">Zdjęcia lokalu:</w:t>
      </w:r>
      <w:r>
        <w:t xml:space="preserve"> </w:t>
      </w:r>
      <w:r>
        <w:t xml:space="preserve">Własne zdjęcia lokalu wykonane w dniu zdania (5 stycznia 2024 r.), które przedstawiają jego stan i mogą świadczyć o braku poważnych zniszczeń, a jedynie normalnym zużyciu [Źródło 1]. Należy zadbać o metadane zdjęć potwierdzające datę ich wykonania.</w:t>
      </w:r>
      <w:r>
        <w:t xml:space="preserve"> </w:t>
      </w:r>
      <w:r>
        <w:t xml:space="preserve">*</w:t>
      </w:r>
      <w:r>
        <w:t xml:space="preserve"> </w:t>
      </w:r>
      <w:r>
        <w:rPr>
          <w:b/>
          <w:bCs/>
        </w:rPr>
        <w:t xml:space="preserve">Korespondencja:</w:t>
      </w:r>
      <w:r>
        <w:t xml:space="preserve"> </w:t>
      </w:r>
      <w:r>
        <w:t xml:space="preserve">Wszelka korespondencja z Wynajmującym (e-maile, SMS-y, pisma) dotycząca stanu lokalu, rozliczeń, czy wcześniejszych ustaleń.</w:t>
      </w:r>
      <w:r>
        <w:t xml:space="preserve"> </w:t>
      </w:r>
      <w:r>
        <w:t xml:space="preserve">*</w:t>
      </w:r>
      <w:r>
        <w:t xml:space="preserve"> </w:t>
      </w:r>
      <w:r>
        <w:rPr>
          <w:b/>
          <w:bCs/>
        </w:rPr>
        <w:t xml:space="preserve">Kalkulacje kosztów odnowienia/napraw:</w:t>
      </w:r>
      <w:r>
        <w:t xml:space="preserve"> </w:t>
      </w:r>
      <w:r>
        <w:t xml:space="preserve">Własne wyceny lub oferty od innych firm na ozonowanie lub naprawę parkietu, aby podważyć zawyżone koszty przedstawione przez Wynajmującego. Może to być dowód z opinii biegłego z zakresu rzeczoznawstwa budowlanego.</w:t>
      </w:r>
      <w:r>
        <w:t xml:space="preserve"> </w:t>
      </w:r>
      <w:r>
        <w:t xml:space="preserve">*</w:t>
      </w:r>
      <w:r>
        <w:t xml:space="preserve"> </w:t>
      </w:r>
      <w:r>
        <w:rPr>
          <w:b/>
          <w:bCs/>
        </w:rPr>
        <w:t xml:space="preserve">Zeznania świadków:</w:t>
      </w:r>
      <w:r>
        <w:t xml:space="preserve"> </w:t>
      </w:r>
      <w:r>
        <w:t xml:space="preserve">Osoby, które były obecne przy zdawaniu lokalu (jeśli takie były) lub widziały stan lokalu przed i po najmie, mogą potwierdzić brak szkód lub ich charakter (normalne zużycie).</w:t>
      </w:r>
      <w:r>
        <w:t xml:space="preserve"> </w:t>
      </w:r>
      <w:r>
        <w:t xml:space="preserve">*</w:t>
      </w:r>
      <w:r>
        <w:t xml:space="preserve"> </w:t>
      </w:r>
      <w:r>
        <w:rPr>
          <w:b/>
          <w:bCs/>
        </w:rPr>
        <w:t xml:space="preserve">Dowody, które może przedstawić Wynajmujący i ich znaczenie:</w:t>
      </w:r>
      <w:r>
        <w:t xml:space="preserve"> </w:t>
      </w:r>
      <w:r>
        <w:t xml:space="preserve">*</w:t>
      </w:r>
      <w:r>
        <w:t xml:space="preserve"> </w:t>
      </w:r>
      <w:r>
        <w:rPr>
          <w:b/>
          <w:bCs/>
        </w:rPr>
        <w:t xml:space="preserve">Faktura za ozonowanie (C. sp. z o.o.) i wycena naprawy parkietu (P. S.A.):</w:t>
      </w:r>
      <w:r>
        <w:t xml:space="preserve"> </w:t>
      </w:r>
      <w:r>
        <w:t xml:space="preserve">Stanowią dowód poniesionych kosztów lub ich szacunkowej wysokości [Źródło 1]. Nie dowodzą jednak zasadności tych kosztów w kontekście odpowiedzialności Najemczyni ani tego, że szkody wykraczają poza normalne zużycie. Sąd powszechny (np. Sąd Rejonowy w Rawie Mazowieckiej w wyroku I C 695/16 [1] czy Sąd Rejonowy w Olsztynie w wyroku I C 3559/17 [5]) wskazuje, że samo twierdzenie o wysokości zadłużenia czy wyciąg z ksiąg rachunkowych nie są wystarczające do udowodnienia roszczenia. W sprawach gospodarczych, faktura VAT nie zawsze stanowi samodzielny dowód zasadności roszczenia, jeśli jest kwestionowana (por. wyrok Sądu Rejonowego w Bydgoszczy VIII GC 1186/25 [2]).</w:t>
      </w:r>
      <w:r>
        <w:t xml:space="preserve"> </w:t>
      </w:r>
      <w:r>
        <w:t xml:space="preserve">*</w:t>
      </w:r>
      <w:r>
        <w:t xml:space="preserve"> </w:t>
      </w:r>
      <w:r>
        <w:rPr>
          <w:b/>
          <w:bCs/>
        </w:rPr>
        <w:t xml:space="preserve">Zdjęcia/filmy:</w:t>
      </w:r>
      <w:r>
        <w:t xml:space="preserve"> </w:t>
      </w:r>
      <w:r>
        <w:t xml:space="preserve">Ewentualne zdjęcia lub filmy dokumentujące szkody. Ich znaczenie zależeć będzie od ich daty wykonania i możliwości powiązania z okresem najmu Klientki.</w:t>
      </w:r>
      <w:r>
        <w:t xml:space="preserve"> </w:t>
      </w:r>
      <w:r>
        <w:t xml:space="preserve">*</w:t>
      </w:r>
      <w:r>
        <w:t xml:space="preserve"> </w:t>
      </w:r>
      <w:r>
        <w:rPr>
          <w:b/>
          <w:bCs/>
        </w:rPr>
        <w:t xml:space="preserve">Zeznania świadków:</w:t>
      </w:r>
      <w:r>
        <w:t xml:space="preserve"> </w:t>
      </w:r>
      <w:r>
        <w:t xml:space="preserve">Osoby, które oglądały lokal po zdaniu i mogą potwierdzić stan lokalu lub zakres koniecznych prac.</w:t>
      </w:r>
      <w:r>
        <w:t xml:space="preserve"> </w:t>
      </w:r>
      <w:r>
        <w:t xml:space="preserve">*</w:t>
      </w:r>
      <w:r>
        <w:t xml:space="preserve"> </w:t>
      </w:r>
      <w:r>
        <w:rPr>
          <w:b/>
          <w:bCs/>
        </w:rPr>
        <w:t xml:space="preserve">Brak protokołu zdawczo-odbiorczego:</w:t>
      </w:r>
      <w:r>
        <w:t xml:space="preserve"> </w:t>
      </w:r>
      <w:r>
        <w:t xml:space="preserve">Brak protokołu, szczegółowo opisującego stan lokalu przy zdaniu, działa na niekorzyść Wynajmującego i znacząco utrudnia mu udowodnienie, że szkody wykraczały poza normalne zużycie [Źródło 1].</w:t>
      </w:r>
    </w:p>
    <w:bookmarkEnd w:id="17"/>
    <w:bookmarkStart w:id="18" w:name="Xd5920f2cdbf987018fc38ec78a13bc2114bc8dc"/>
    <w:p>
      <w:pPr>
        <w:pStyle w:val="Heading3"/>
      </w:pPr>
      <w:r>
        <w:t xml:space="preserve">6. Wyliczenie roszczenia pieniężnego Klientki</w:t>
      </w:r>
    </w:p>
    <w:p>
      <w:pPr>
        <w:pStyle w:val="FirstParagraph"/>
      </w:pPr>
      <w:r>
        <w:t xml:space="preserve">Celem jest odzyskanie niesłusznie potrąconej części kaucji wraz z odsetkami.</w:t>
      </w:r>
    </w:p>
    <w:p>
      <w:pPr>
        <w:numPr>
          <w:ilvl w:val="0"/>
          <w:numId w:val="1019"/>
        </w:numPr>
      </w:pPr>
      <w:r>
        <w:rPr>
          <w:b/>
          <w:bCs/>
        </w:rPr>
        <w:t xml:space="preserve">Kaucja wpłacona:</w:t>
      </w:r>
      <w:r>
        <w:t xml:space="preserve"> </w:t>
      </w:r>
      <w:r>
        <w:t xml:space="preserve">7 200,00 zł [Źródło 1].</w:t>
      </w:r>
    </w:p>
    <w:p>
      <w:pPr>
        <w:numPr>
          <w:ilvl w:val="0"/>
          <w:numId w:val="1019"/>
        </w:numPr>
      </w:pPr>
      <w:r>
        <w:rPr>
          <w:b/>
          <w:bCs/>
        </w:rPr>
        <w:t xml:space="preserve">Kwota zwrócona przez Wynajmującego:</w:t>
      </w:r>
      <w:r>
        <w:t xml:space="preserve"> </w:t>
      </w:r>
      <w:r>
        <w:t xml:space="preserve">1 500,00 zł [Źródło 1].</w:t>
      </w:r>
    </w:p>
    <w:p>
      <w:pPr>
        <w:numPr>
          <w:ilvl w:val="0"/>
          <w:numId w:val="1019"/>
        </w:numPr>
      </w:pPr>
      <w:r>
        <w:rPr>
          <w:b/>
          <w:bCs/>
        </w:rPr>
        <w:t xml:space="preserve">Różnica (roszczenie podstawowe):</w:t>
      </w:r>
      <w:r>
        <w:t xml:space="preserve"> </w:t>
      </w:r>
      <w:r>
        <w:t xml:space="preserve">7 200,00 zł - 1 500,00 zł = 5 700,00 zł.</w:t>
      </w:r>
    </w:p>
    <w:p>
      <w:pPr>
        <w:numPr>
          <w:ilvl w:val="0"/>
          <w:numId w:val="1019"/>
        </w:numPr>
      </w:pPr>
      <w:r>
        <w:rPr>
          <w:b/>
          <w:bCs/>
        </w:rPr>
        <w:t xml:space="preserve">Analiza potrąconych kwot pod kątem zasadności:</w:t>
      </w:r>
    </w:p>
    <w:p>
      <w:pPr>
        <w:pStyle w:val="Compact"/>
        <w:numPr>
          <w:ilvl w:val="1"/>
          <w:numId w:val="1020"/>
        </w:numPr>
      </w:pPr>
      <w:r>
        <w:rPr>
          <w:b/>
          <w:bCs/>
        </w:rPr>
        <w:t xml:space="preserve">Zaległy czynsz za październik 2023 r. (2 400,00 zł):</w:t>
      </w:r>
      <w:r>
        <w:t xml:space="preserve"> </w:t>
      </w:r>
      <w:r>
        <w:t xml:space="preserve">Jeśli Klientka udowodni zapłatę, potrącenie jest bezpodstawne. Ta kwota (2 400,00 zł) w całości powiększa roszczenie Klientki.</w:t>
      </w:r>
    </w:p>
    <w:p>
      <w:pPr>
        <w:pStyle w:val="Compact"/>
        <w:numPr>
          <w:ilvl w:val="1"/>
          <w:numId w:val="1020"/>
        </w:numPr>
      </w:pPr>
      <w:r>
        <w:rPr>
          <w:b/>
          <w:bCs/>
        </w:rPr>
        <w:t xml:space="preserve">Koszty ozonowania (1 500,00 zł) i naprawy parkietu (1 800,00 zł):</w:t>
      </w:r>
    </w:p>
    <w:p>
      <w:pPr>
        <w:pStyle w:val="Compact"/>
        <w:numPr>
          <w:ilvl w:val="2"/>
          <w:numId w:val="1021"/>
        </w:numPr>
      </w:pPr>
      <w:r>
        <w:t xml:space="preserve">Te elementy są najbardziej sporne i zależą od dowodów. Jeśli Klientka udowodni, że były to skutki normalnego zużycia lub że koszty były zawyżone, te potrącenia również będą bezpodstawne.</w:t>
      </w:r>
    </w:p>
    <w:p>
      <w:pPr>
        <w:pStyle w:val="Compact"/>
        <w:numPr>
          <w:ilvl w:val="2"/>
          <w:numId w:val="1021"/>
        </w:numPr>
      </w:pPr>
      <w:r>
        <w:t xml:space="preserve">Wówczas cała kwota potrąceń (1 500,00 zł + 1 800,00 zł = 3 300,00 zł) powiększyłaby roszczenie Klientki.</w:t>
      </w:r>
    </w:p>
    <w:p>
      <w:pPr>
        <w:numPr>
          <w:ilvl w:val="0"/>
          <w:numId w:val="1019"/>
        </w:numPr>
      </w:pPr>
      <w:r>
        <w:rPr>
          <w:b/>
          <w:bCs/>
        </w:rPr>
        <w:t xml:space="preserve">Maksymalna kwota roszczenia Klientki (zasadna):</w:t>
      </w:r>
    </w:p>
    <w:p>
      <w:pPr>
        <w:pStyle w:val="Compact"/>
        <w:numPr>
          <w:ilvl w:val="1"/>
          <w:numId w:val="1022"/>
        </w:numPr>
      </w:pPr>
      <w:r>
        <w:t xml:space="preserve">Zakładając, że wszystkie potrącenia Wynajmującego są bezpodstawne:</w:t>
      </w:r>
    </w:p>
    <w:p>
      <w:pPr>
        <w:pStyle w:val="Compact"/>
        <w:numPr>
          <w:ilvl w:val="2"/>
          <w:numId w:val="1023"/>
        </w:numPr>
      </w:pPr>
      <w:r>
        <w:t xml:space="preserve">Zwrot kaucji pierwotnie potrąconej: 5 700,00 zł</w:t>
      </w:r>
    </w:p>
    <w:p>
      <w:pPr>
        <w:pStyle w:val="Compact"/>
        <w:numPr>
          <w:ilvl w:val="2"/>
          <w:numId w:val="1023"/>
        </w:numPr>
      </w:pPr>
      <w:r>
        <w:t xml:space="preserve">Całkowita kwota do odzyskania: 7 200,00 zł (kaucja) - 1 500,00 zł (zwrócona) =</w:t>
      </w:r>
      <w:r>
        <w:t xml:space="preserve"> </w:t>
      </w:r>
      <w:r>
        <w:rPr>
          <w:b/>
          <w:bCs/>
        </w:rPr>
        <w:t xml:space="preserve">5 700,00 zł</w:t>
      </w:r>
      <w:r>
        <w:t xml:space="preserve">.</w:t>
      </w:r>
    </w:p>
    <w:p>
      <w:pPr>
        <w:pStyle w:val="Compact"/>
        <w:numPr>
          <w:ilvl w:val="1"/>
          <w:numId w:val="1022"/>
        </w:numPr>
      </w:pPr>
      <w:r>
        <w:rPr>
          <w:i/>
          <w:iCs/>
        </w:rPr>
        <w:t xml:space="preserve">Uwaga:</w:t>
      </w:r>
      <w:r>
        <w:t xml:space="preserve"> </w:t>
      </w:r>
      <w:r>
        <w:t xml:space="preserve">Klientka domaga się zwrotu 4 200,00 zł [Źródło 1]. Wskazuje to na to, że akceptuje część potrąceń lub jej początkowe wyliczenie różni się od powyższego. Należy wyjaśnić z Klientką, dlaczego jej żądana kwota to 4 200,00 zł, a nie 5 700,00 zł. Dla celów tej opinii zakładamy dążenie do pełnego odzyskania niesłusznie potrąconych kwot.</w:t>
      </w:r>
    </w:p>
    <w:p>
      <w:pPr>
        <w:numPr>
          <w:ilvl w:val="0"/>
          <w:numId w:val="1019"/>
        </w:numPr>
      </w:pPr>
      <w:r>
        <w:rPr>
          <w:b/>
          <w:bCs/>
        </w:rPr>
        <w:t xml:space="preserve">Odsetki ustawowe za opóźnienie:</w:t>
      </w:r>
    </w:p>
    <w:p>
      <w:pPr>
        <w:pStyle w:val="Compact"/>
        <w:numPr>
          <w:ilvl w:val="1"/>
          <w:numId w:val="1024"/>
        </w:numPr>
      </w:pPr>
      <w:r>
        <w:rPr>
          <w:b/>
          <w:bCs/>
        </w:rPr>
        <w:t xml:space="preserve">Podstawa prawna:</w:t>
      </w:r>
      <w:r>
        <w:t xml:space="preserve"> </w:t>
      </w:r>
      <w:r>
        <w:t xml:space="preserve">Art. 481 § 1 k.c. stanowi, że jeżeli dłużnik opóźnia się ze spełnieniem świadczenia pieniężnego, wierzyciel może żądać odsetek za czas opóźnienia, chociażby nie poniósł żadnej szkody i chociażby opóźnienie było następstwem okoliczności, za które dłużnik odpowiedzialności nie ponosi.</w:t>
      </w:r>
    </w:p>
    <w:p>
      <w:pPr>
        <w:pStyle w:val="Compact"/>
        <w:numPr>
          <w:ilvl w:val="1"/>
          <w:numId w:val="1024"/>
        </w:numPr>
      </w:pPr>
      <w:r>
        <w:rPr>
          <w:b/>
          <w:bCs/>
        </w:rPr>
        <w:t xml:space="preserve">Data początkowa:</w:t>
      </w:r>
      <w:r>
        <w:t xml:space="preserve"> </w:t>
      </w:r>
      <w:r>
        <w:t xml:space="preserve">Kaucja powinna zostać rozliczona po zakończeniu najmu (14 stycznia 2024 r.) i zdaniu lokalu (5 stycznia 2024 r.), w terminie wynikającym z przepisów UOPL (zazwyczaj miesiąc). Wynajmujący poinformował o potrąceniach i zwrócił część kaucji 25 stycznia 2024 r. [Źródło 1]. Można przyjąć, że roszczenie o zwrot niesłusznie potrąconej części kaucji stało się wymagalne 26 stycznia 2024 r., tj. następnego dnia po faktycznym rozliczeniu dokonanym przez Wynajmującego. Wówczas odsetki ustawowe za opóźnienie powinny być naliczane od 26 stycznia 2024 r. do dnia zapłaty. Alternatywnie, jeśli brakuje precyzyjnego terminu wymagalności, odsetki biegną od dnia wezwania Wynajmującego do zapłaty lub od dnia doręczenia pozwu.</w:t>
      </w:r>
    </w:p>
    <w:p>
      <w:pPr>
        <w:pStyle w:val="Compact"/>
        <w:numPr>
          <w:ilvl w:val="1"/>
          <w:numId w:val="1024"/>
        </w:numPr>
      </w:pPr>
      <w:r>
        <w:rPr>
          <w:b/>
          <w:bCs/>
        </w:rPr>
        <w:t xml:space="preserve">Stawka:</w:t>
      </w:r>
      <w:r>
        <w:t xml:space="preserve"> </w:t>
      </w:r>
      <w:r>
        <w:t xml:space="preserve">Aktualna stawka odsetek ustawowych za opóźnienie.</w:t>
      </w:r>
    </w:p>
    <w:p>
      <w:pPr>
        <w:numPr>
          <w:ilvl w:val="0"/>
          <w:numId w:val="1019"/>
        </w:numPr>
      </w:pPr>
      <w:r>
        <w:rPr>
          <w:b/>
          <w:bCs/>
        </w:rPr>
        <w:t xml:space="preserve">Możliwe dodatkowe roszczenia:</w:t>
      </w:r>
    </w:p>
    <w:p>
      <w:pPr>
        <w:pStyle w:val="Compact"/>
        <w:numPr>
          <w:ilvl w:val="1"/>
          <w:numId w:val="1025"/>
        </w:numPr>
      </w:pPr>
      <w:r>
        <w:rPr>
          <w:b/>
          <w:bCs/>
        </w:rPr>
        <w:t xml:space="preserve">Koszty postępowania:</w:t>
      </w:r>
      <w:r>
        <w:t xml:space="preserve"> </w:t>
      </w:r>
      <w:r>
        <w:t xml:space="preserve">W przypadku wygrania sprawy Klientce przysługuje zwrot kosztów procesu (np. opłaty sądowej od pozwu, kosztów zastępstwa procesowego) na podstawie art. 98 k.p.c. (por. wyrok Sądu Rejonowego w Koninie V GC 220/15 [8]).</w:t>
      </w:r>
    </w:p>
    <w:p>
      <w:pPr>
        <w:pStyle w:val="FirstParagraph"/>
      </w:pPr>
      <w:r>
        <w:rPr>
          <w:b/>
          <w:bCs/>
        </w:rPr>
        <w:t xml:space="preserve">Podsumowanie kwotowe roszczenia Klientki:</w:t>
      </w:r>
    </w:p>
    <w:p>
      <w:pPr>
        <w:pStyle w:val="Compact"/>
        <w:numPr>
          <w:ilvl w:val="0"/>
          <w:numId w:val="1026"/>
        </w:numPr>
      </w:pPr>
      <w:r>
        <w:rPr>
          <w:b/>
          <w:bCs/>
        </w:rPr>
        <w:t xml:space="preserve">Kwota główna:</w:t>
      </w:r>
      <w:r>
        <w:t xml:space="preserve"> </w:t>
      </w:r>
      <w:r>
        <w:t xml:space="preserve">5 700,00 zł (różnica między wpłaconą a zwróconą kaucją).</w:t>
      </w:r>
    </w:p>
    <w:p>
      <w:pPr>
        <w:pStyle w:val="Compact"/>
        <w:numPr>
          <w:ilvl w:val="1"/>
          <w:numId w:val="1027"/>
        </w:numPr>
      </w:pPr>
      <w:r>
        <w:t xml:space="preserve">Elementy roszczenia pewne (jeśli Klientka udowodni zapłatę czynszu): 2 400,00 zł (czynsz za październik 2023 r.).</w:t>
      </w:r>
    </w:p>
    <w:p>
      <w:pPr>
        <w:pStyle w:val="Compact"/>
        <w:numPr>
          <w:ilvl w:val="1"/>
          <w:numId w:val="1027"/>
        </w:numPr>
      </w:pPr>
      <w:r>
        <w:t xml:space="preserve">Elementy roszczenia wymagające dowodów (np. normalne zużycie, zawyżone koszty): 1 500,00 zł (ozonowanie) + 1 800,00 zł (naprawa parkietu).</w:t>
      </w:r>
    </w:p>
    <w:p>
      <w:pPr>
        <w:pStyle w:val="Compact"/>
        <w:numPr>
          <w:ilvl w:val="0"/>
          <w:numId w:val="1026"/>
        </w:numPr>
      </w:pPr>
      <w:r>
        <w:rPr>
          <w:b/>
          <w:bCs/>
        </w:rPr>
        <w:t xml:space="preserve">Odsetki ustawowe za opóźnienie:</w:t>
      </w:r>
      <w:r>
        <w:t xml:space="preserve"> </w:t>
      </w:r>
      <w:r>
        <w:t xml:space="preserve">od kwoty 5 700,00 zł (lub jej udowodnionej części) od 26 stycznia 2024 r. do dnia zapłaty.</w:t>
      </w:r>
    </w:p>
    <w:p>
      <w:pPr>
        <w:pStyle w:val="Compact"/>
        <w:numPr>
          <w:ilvl w:val="0"/>
          <w:numId w:val="1026"/>
        </w:numPr>
      </w:pPr>
      <w:r>
        <w:rPr>
          <w:b/>
          <w:bCs/>
        </w:rPr>
        <w:t xml:space="preserve">Koszty procesu:</w:t>
      </w:r>
      <w:r>
        <w:t xml:space="preserve"> </w:t>
      </w:r>
      <w:r>
        <w:t xml:space="preserve">do ustalenia na podstawie stawek opłat i wynagrodzenia pełnomocnika.</w:t>
      </w:r>
    </w:p>
    <w:bookmarkEnd w:id="18"/>
    <w:bookmarkStart w:id="19" w:name="rejestr-ryzyk-i-szans"/>
    <w:p>
      <w:pPr>
        <w:pStyle w:val="Heading3"/>
      </w:pPr>
      <w:r>
        <w:t xml:space="preserve">7. Rejestr ryzyk i szans</w:t>
      </w:r>
    </w:p>
    <w:p>
      <w:pPr>
        <w:pStyle w:val="FirstParagraph"/>
      </w:pPr>
      <w:r>
        <w:rPr>
          <w:b/>
          <w:bCs/>
        </w:rPr>
        <w:t xml:space="preserve">Mocne strony (Szanse) Klientki:</w:t>
      </w:r>
    </w:p>
    <w:p>
      <w:pPr>
        <w:pStyle w:val="Compact"/>
        <w:numPr>
          <w:ilvl w:val="0"/>
          <w:numId w:val="1028"/>
        </w:numPr>
      </w:pPr>
      <w:r>
        <w:rPr>
          <w:b/>
          <w:bCs/>
        </w:rPr>
        <w:t xml:space="preserve">Status konsumenta:</w:t>
      </w:r>
      <w:r>
        <w:t xml:space="preserve"> </w:t>
      </w:r>
      <w:r>
        <w:t xml:space="preserve">Możliwość powołania się na przepisy o klauzulach abuzywnych (art. 385¹ k.c.) w odniesieniu do szerokiego uprawnienia Wynajmującego do potrąceń z kaucji [Źródło 1].</w:t>
      </w:r>
    </w:p>
    <w:p>
      <w:pPr>
        <w:pStyle w:val="Compact"/>
        <w:numPr>
          <w:ilvl w:val="0"/>
          <w:numId w:val="1028"/>
        </w:numPr>
      </w:pPr>
      <w:r>
        <w:rPr>
          <w:b/>
          <w:bCs/>
        </w:rPr>
        <w:t xml:space="preserve">Brak protokołu zdawczo-odbiorczego:</w:t>
      </w:r>
      <w:r>
        <w:t xml:space="preserve"> </w:t>
      </w:r>
      <w:r>
        <w:t xml:space="preserve">Znacząco osłabia pozycję dowodową Wynajmującego w zakresie udowodnienia stanu lokalu i powstania szkód wykraczających poza normalne zużycie [Źródło 1]. Wynajmujący będzie miał trudności z wykazaniem, że stan lokalu po zdaniu różnił się od stanu z początku najmu (por. Sąd Rejonowy w Rawie Mazowieckiej w wyroku I C 695/16 [1] i Sąd Rejonowy w Olsztynie w wyroku I C 3559/17 [5] – konieczność udowodnienia legitymacji i treści zobowiązania).</w:t>
      </w:r>
    </w:p>
    <w:p>
      <w:pPr>
        <w:pStyle w:val="Compact"/>
        <w:numPr>
          <w:ilvl w:val="0"/>
          <w:numId w:val="1028"/>
        </w:numPr>
      </w:pPr>
      <w:r>
        <w:rPr>
          <w:b/>
          <w:bCs/>
        </w:rPr>
        <w:t xml:space="preserve">Własne zdjęcia lokalu:</w:t>
      </w:r>
      <w:r>
        <w:t xml:space="preserve"> </w:t>
      </w:r>
      <w:r>
        <w:t xml:space="preserve">Dostarczą dowód na stan lokalu w dniu jego zdania [Źródło 1].</w:t>
      </w:r>
    </w:p>
    <w:p>
      <w:pPr>
        <w:pStyle w:val="Compact"/>
        <w:numPr>
          <w:ilvl w:val="0"/>
          <w:numId w:val="1028"/>
        </w:numPr>
      </w:pPr>
      <w:r>
        <w:rPr>
          <w:b/>
          <w:bCs/>
        </w:rPr>
        <w:t xml:space="preserve">Dowód zapłaty czynszu:</w:t>
      </w:r>
      <w:r>
        <w:t xml:space="preserve"> </w:t>
      </w:r>
      <w:r>
        <w:t xml:space="preserve">Jeśli Klientka przedstawi dowód zapłaty za październik 2023 r., roszczenie Wynajmującego w tej części będzie bezpodstawne.</w:t>
      </w:r>
    </w:p>
    <w:p>
      <w:pPr>
        <w:pStyle w:val="FirstParagraph"/>
      </w:pPr>
      <w:r>
        <w:rPr>
          <w:b/>
          <w:bCs/>
        </w:rPr>
        <w:t xml:space="preserve">Słabe strony (Ryzyka) Klientki:</w:t>
      </w:r>
    </w:p>
    <w:p>
      <w:pPr>
        <w:pStyle w:val="Compact"/>
        <w:numPr>
          <w:ilvl w:val="0"/>
          <w:numId w:val="1029"/>
        </w:numPr>
      </w:pPr>
      <w:r>
        <w:rPr>
          <w:b/>
          <w:bCs/>
        </w:rPr>
        <w:t xml:space="preserve">Brak protokołu zdawczo-odbiorczego:</w:t>
      </w:r>
      <w:r>
        <w:t xml:space="preserve"> </w:t>
      </w:r>
      <w:r>
        <w:t xml:space="preserve">Choć osłabia pozycję Wynajmującego, może również utrudnić Klientce precyzyjne udowodnienie</w:t>
      </w:r>
      <w:r>
        <w:t xml:space="preserve"> </w:t>
      </w:r>
      <w:r>
        <w:rPr>
          <w:i/>
          <w:iCs/>
        </w:rPr>
        <w:t xml:space="preserve">braku</w:t>
      </w:r>
      <w:r>
        <w:t xml:space="preserve"> </w:t>
      </w:r>
      <w:r>
        <w:t xml:space="preserve">szkód, jeśli jej zdjęcia okażą się niewystarczające.</w:t>
      </w:r>
    </w:p>
    <w:p>
      <w:pPr>
        <w:pStyle w:val="Compact"/>
        <w:numPr>
          <w:ilvl w:val="0"/>
          <w:numId w:val="1029"/>
        </w:numPr>
      </w:pPr>
      <w:r>
        <w:rPr>
          <w:b/>
          <w:bCs/>
        </w:rPr>
        <w:t xml:space="preserve">Subiektywna ocena</w:t>
      </w:r>
      <w:r>
        <w:rPr>
          <w:b/>
          <w:bCs/>
        </w:rPr>
        <w:t xml:space="preserve"> </w:t>
      </w:r>
      <w:r>
        <w:rPr>
          <w:b/>
          <w:bCs/>
        </w:rPr>
        <w:t xml:space="preserve">“normalnego zużycia”</w:t>
      </w:r>
      <w:r>
        <w:rPr>
          <w:b/>
          <w:bCs/>
        </w:rPr>
        <w:t xml:space="preserve">:</w:t>
      </w:r>
      <w:r>
        <w:t xml:space="preserve"> </w:t>
      </w:r>
      <w:r>
        <w:t xml:space="preserve">Spór o to, co stanowi normalne zużycie, a co szkodę, może wymagać opinii biegłego, co generuje koszty.</w:t>
      </w:r>
    </w:p>
    <w:p>
      <w:pPr>
        <w:pStyle w:val="Compact"/>
        <w:numPr>
          <w:ilvl w:val="0"/>
          <w:numId w:val="1029"/>
        </w:numPr>
      </w:pPr>
      <w:r>
        <w:rPr>
          <w:b/>
          <w:bCs/>
        </w:rPr>
        <w:t xml:space="preserve">Wycena naprawy parkietu i faktura za ozonowanie:</w:t>
      </w:r>
      <w:r>
        <w:t xml:space="preserve"> </w:t>
      </w:r>
      <w:r>
        <w:t xml:space="preserve">Wynajmujący dysponuje dowodami w postaci wyceny i faktury, co będzie wymagało od Klientki ich skutecznego podważenia (np. poprzez własne wyceny, opinie).</w:t>
      </w:r>
    </w:p>
    <w:p>
      <w:pPr>
        <w:pStyle w:val="Compact"/>
        <w:numPr>
          <w:ilvl w:val="0"/>
          <w:numId w:val="1029"/>
        </w:numPr>
      </w:pPr>
      <w:r>
        <w:rPr>
          <w:b/>
          <w:bCs/>
        </w:rPr>
        <w:t xml:space="preserve">Brak konkretnych regulacji UOPL w kontekście:</w:t>
      </w:r>
      <w:r>
        <w:t xml:space="preserve"> </w:t>
      </w:r>
      <w:r>
        <w:t xml:space="preserve">Brak możliwości powołania się na konkretne zapisy UOPL w dostarczonym materiale, co mogłoby wzmocnić argumentację dotyczącą wysokości kaucji.</w:t>
      </w:r>
    </w:p>
    <w:p>
      <w:pPr>
        <w:pStyle w:val="FirstParagraph"/>
      </w:pPr>
      <w:r>
        <w:rPr>
          <w:b/>
          <w:bCs/>
        </w:rPr>
        <w:t xml:space="preserve">Kontrargumenty strony przeciwnej (Wynajmującego):</w:t>
      </w:r>
    </w:p>
    <w:p>
      <w:pPr>
        <w:pStyle w:val="Compact"/>
        <w:numPr>
          <w:ilvl w:val="0"/>
          <w:numId w:val="1030"/>
        </w:numPr>
      </w:pPr>
      <w:r>
        <w:rPr>
          <w:b/>
          <w:bCs/>
        </w:rPr>
        <w:t xml:space="preserve">Postanowienia umowy (§7):</w:t>
      </w:r>
      <w:r>
        <w:t xml:space="preserve"> </w:t>
      </w:r>
      <w:r>
        <w:t xml:space="preserve">Wynajmujący będzie się powoływał na umowne uprawnienie do potrącania</w:t>
      </w:r>
      <w:r>
        <w:t xml:space="preserve"> </w:t>
      </w:r>
      <w:r>
        <w:t xml:space="preserve">“wszelkich należności”</w:t>
      </w:r>
      <w:r>
        <w:t xml:space="preserve"> </w:t>
      </w:r>
      <w:r>
        <w:t xml:space="preserve">z kaucji [Źródło 1].</w:t>
      </w:r>
    </w:p>
    <w:p>
      <w:pPr>
        <w:pStyle w:val="Compact"/>
        <w:numPr>
          <w:ilvl w:val="0"/>
          <w:numId w:val="1030"/>
        </w:numPr>
      </w:pPr>
      <w:r>
        <w:rPr>
          <w:b/>
          <w:bCs/>
        </w:rPr>
        <w:t xml:space="preserve">Faktura i wycena:</w:t>
      </w:r>
      <w:r>
        <w:t xml:space="preserve"> </w:t>
      </w:r>
      <w:r>
        <w:t xml:space="preserve">Przedstawi fakturę za ozonowanie i wycenę naprawy parkietu jako dowody poniesionych kosztów i zakresu szkód [Źródło 1].</w:t>
      </w:r>
    </w:p>
    <w:p>
      <w:pPr>
        <w:pStyle w:val="Compact"/>
        <w:numPr>
          <w:ilvl w:val="0"/>
          <w:numId w:val="1030"/>
        </w:numPr>
      </w:pPr>
      <w:r>
        <w:rPr>
          <w:b/>
          <w:bCs/>
        </w:rPr>
        <w:t xml:space="preserve">Twierdzenie o zaległości czynszowej:</w:t>
      </w:r>
      <w:r>
        <w:t xml:space="preserve"> </w:t>
      </w:r>
      <w:r>
        <w:t xml:space="preserve">Będzie utrzymywał, że czynsz za październik 2023 r. nie został zapłacony [Źródło 1].</w:t>
      </w:r>
    </w:p>
    <w:p>
      <w:pPr>
        <w:pStyle w:val="Compact"/>
        <w:numPr>
          <w:ilvl w:val="0"/>
          <w:numId w:val="1030"/>
        </w:numPr>
      </w:pPr>
      <w:r>
        <w:rPr>
          <w:b/>
          <w:bCs/>
        </w:rPr>
        <w:t xml:space="preserve">Zeznania świadków:</w:t>
      </w:r>
      <w:r>
        <w:t xml:space="preserve"> </w:t>
      </w:r>
      <w:r>
        <w:t xml:space="preserve">Może przedstawić świadków, którzy potwierdzą stan lokalu lub konieczność dokonania prac.</w:t>
      </w:r>
    </w:p>
    <w:p>
      <w:pPr>
        <w:pStyle w:val="FirstParagraph"/>
      </w:pPr>
      <w:r>
        <w:rPr>
          <w:b/>
          <w:bCs/>
        </w:rPr>
        <w:t xml:space="preserve">Rekomendowana strategia:</w:t>
      </w:r>
    </w:p>
    <w:p>
      <w:pPr>
        <w:pStyle w:val="Compact"/>
        <w:numPr>
          <w:ilvl w:val="0"/>
          <w:numId w:val="1031"/>
        </w:numPr>
      </w:pPr>
      <w:r>
        <w:rPr>
          <w:b/>
          <w:bCs/>
        </w:rPr>
        <w:t xml:space="preserve">Negocjacje / Postępowanie przedsądowe (etap 1):</w:t>
      </w:r>
    </w:p>
    <w:p>
      <w:pPr>
        <w:pStyle w:val="Compact"/>
        <w:numPr>
          <w:ilvl w:val="1"/>
          <w:numId w:val="1032"/>
        </w:numPr>
      </w:pPr>
      <w:r>
        <w:rPr>
          <w:b/>
          <w:bCs/>
        </w:rPr>
        <w:t xml:space="preserve">Wystosowanie formalnego wezwania przedsądowego do zapłaty</w:t>
      </w:r>
      <w:r>
        <w:t xml:space="preserve"> </w:t>
      </w:r>
      <w:r>
        <w:t xml:space="preserve">do Wynajmującego. Pismo powinno zawierać szczegółowe uzasadnienie żądania zwrotu kwoty 5 700,00 zł (lub 4 200,00 zł, po wyjaśnieniu z Klientką), wskazanie podstaw prawnych (bezpodstawne potrącenia, abuzywność klauzul), żądanie odsetek oraz wyznaczenie krótkiego terminu na zapłatę. Należy załączyć posiadane dowody (potwierdzenie zapłaty czynszu, zdjęcia).</w:t>
      </w:r>
    </w:p>
    <w:p>
      <w:pPr>
        <w:pStyle w:val="Compact"/>
        <w:numPr>
          <w:ilvl w:val="1"/>
          <w:numId w:val="1032"/>
        </w:numPr>
      </w:pPr>
      <w:r>
        <w:rPr>
          <w:b/>
          <w:bCs/>
        </w:rPr>
        <w:t xml:space="preserve">Propozycja mediacji:</w:t>
      </w:r>
      <w:r>
        <w:t xml:space="preserve"> </w:t>
      </w:r>
      <w:r>
        <w:t xml:space="preserve">W piśmie przedsądowym można (a nawet zaleca się) zaproponować rozwiązanie sporu na drodze mediacji, wskazując na Art. 187 §1 pkt 3 k.p.c. (informacja o próbie mediacji w pozwie) oraz korzyści z pozasądowego rozwiązania sporu.</w:t>
      </w:r>
    </w:p>
    <w:p>
      <w:pPr>
        <w:pStyle w:val="Compact"/>
        <w:numPr>
          <w:ilvl w:val="1"/>
          <w:numId w:val="1032"/>
        </w:numPr>
      </w:pPr>
      <w:r>
        <w:rPr>
          <w:b/>
          <w:bCs/>
        </w:rPr>
        <w:t xml:space="preserve">Zgłoszenie do Rzecznika Praw Konsumentów:</w:t>
      </w:r>
      <w:r>
        <w:t xml:space="preserve"> </w:t>
      </w:r>
      <w:r>
        <w:t xml:space="preserve">Ze względu na status Klientki jako konsumenta, można rozważyć zgłoszenie sprawy do Rzecznika Praw Konsumentów. Może to wywrzeć dodatkową presję na Wynajmującego i pomóc w rozwiązaniu sporu, choć nie jest to ścieżka procesowa o charakterze wiążącym.</w:t>
      </w:r>
    </w:p>
    <w:p>
      <w:pPr>
        <w:pStyle w:val="Compact"/>
        <w:numPr>
          <w:ilvl w:val="0"/>
          <w:numId w:val="1031"/>
        </w:numPr>
      </w:pPr>
      <w:r>
        <w:rPr>
          <w:b/>
          <w:bCs/>
        </w:rPr>
        <w:t xml:space="preserve">Postępowanie sądowe (etap 2):</w:t>
      </w:r>
    </w:p>
    <w:p>
      <w:pPr>
        <w:pStyle w:val="Compact"/>
        <w:numPr>
          <w:ilvl w:val="1"/>
          <w:numId w:val="1033"/>
        </w:numPr>
      </w:pPr>
      <w:r>
        <w:t xml:space="preserve">W przypadku braku pozytywnej odpowiedzi na wezwanie przedsądowe, należy przygotować i złożyć</w:t>
      </w:r>
      <w:r>
        <w:t xml:space="preserve"> </w:t>
      </w:r>
      <w:r>
        <w:rPr>
          <w:b/>
          <w:bCs/>
        </w:rPr>
        <w:t xml:space="preserve">pozew o zapłatę</w:t>
      </w:r>
      <w:r>
        <w:t xml:space="preserve"> </w:t>
      </w:r>
      <w:r>
        <w:t xml:space="preserve">do właściwego sądu rejonowego.</w:t>
      </w:r>
    </w:p>
    <w:p>
      <w:pPr>
        <w:pStyle w:val="Compact"/>
        <w:numPr>
          <w:ilvl w:val="1"/>
          <w:numId w:val="1033"/>
        </w:numPr>
      </w:pPr>
      <w:r>
        <w:rPr>
          <w:b/>
          <w:bCs/>
        </w:rPr>
        <w:t xml:space="preserve">Wniosek o zabezpieczenie powództwa (art. 730 i nast. k.p.c.):</w:t>
      </w:r>
      <w:r>
        <w:t xml:space="preserve"> </w:t>
      </w:r>
      <w:r>
        <w:t xml:space="preserve">W zależności od oceny sytuacji majątkowej Wynajmującego i ryzyka utrudnienia egzekucji w przyszłości, można rozważyć złożenie wniosku o zabezpieczenie roszczenia pieniężnego, np. poprzez zajęcie wierzytelności Wynajmującego. Wymaga to uprawdopodobnienia roszczenia i interesu prawnego w zabezpieczeniu.</w:t>
      </w:r>
    </w:p>
    <w:bookmarkEnd w:id="19"/>
    <w:bookmarkStart w:id="20" w:name="instrukcja-kolejnych-kroków"/>
    <w:p>
      <w:pPr>
        <w:pStyle w:val="Heading3"/>
      </w:pPr>
      <w:r>
        <w:t xml:space="preserve">Instrukcja kolejnych kroków</w:t>
      </w:r>
    </w:p>
    <w:p>
      <w:pPr>
        <w:pStyle w:val="Compact"/>
        <w:numPr>
          <w:ilvl w:val="0"/>
          <w:numId w:val="1034"/>
        </w:numPr>
      </w:pPr>
      <w:r>
        <w:rPr>
          <w:b/>
          <w:bCs/>
        </w:rPr>
        <w:t xml:space="preserve">Weryfikacja i uzupełnienie dowodów (natychmiast):</w:t>
      </w:r>
    </w:p>
    <w:p>
      <w:pPr>
        <w:pStyle w:val="Compact"/>
        <w:numPr>
          <w:ilvl w:val="1"/>
          <w:numId w:val="1035"/>
        </w:numPr>
      </w:pPr>
      <w:r>
        <w:rPr>
          <w:b/>
          <w:bCs/>
        </w:rPr>
        <w:t xml:space="preserve">Potwierdzenie zapłaty czynszu:</w:t>
      </w:r>
      <w:r>
        <w:t xml:space="preserve"> </w:t>
      </w:r>
      <w:r>
        <w:t xml:space="preserve">Klientka powinna niezwłocznie odnaleźć i zabezpieczyć potwierdzenie przelewu za czynsz za październik 2023 r.</w:t>
      </w:r>
    </w:p>
    <w:p>
      <w:pPr>
        <w:pStyle w:val="Compact"/>
        <w:numPr>
          <w:ilvl w:val="1"/>
          <w:numId w:val="1035"/>
        </w:numPr>
      </w:pPr>
      <w:r>
        <w:rPr>
          <w:b/>
          <w:bCs/>
        </w:rPr>
        <w:t xml:space="preserve">Zdjęcia lokalu:</w:t>
      </w:r>
      <w:r>
        <w:t xml:space="preserve"> </w:t>
      </w:r>
      <w:r>
        <w:t xml:space="preserve">Klientka powinna przygotować komplet zdjęć z dnia zdania lokalu (5 stycznia 2024 r.), upewniając się, że posiadają metadane potwierdzające datę.</w:t>
      </w:r>
    </w:p>
    <w:p>
      <w:pPr>
        <w:pStyle w:val="Compact"/>
        <w:numPr>
          <w:ilvl w:val="1"/>
          <w:numId w:val="1035"/>
        </w:numPr>
      </w:pPr>
      <w:r>
        <w:rPr>
          <w:b/>
          <w:bCs/>
        </w:rPr>
        <w:t xml:space="preserve">Wyceny:</w:t>
      </w:r>
      <w:r>
        <w:t xml:space="preserve"> </w:t>
      </w:r>
      <w:r>
        <w:t xml:space="preserve">Zlecić wykonanie co najmniej jednej niezależnej wyceny kosztów ozonowania i naprawy parkietu, aby podważyć koszty przedstawione przez Wynajmującego.</w:t>
      </w:r>
    </w:p>
    <w:p>
      <w:pPr>
        <w:pStyle w:val="Compact"/>
        <w:numPr>
          <w:ilvl w:val="1"/>
          <w:numId w:val="1035"/>
        </w:numPr>
      </w:pPr>
      <w:r>
        <w:rPr>
          <w:b/>
          <w:bCs/>
        </w:rPr>
        <w:t xml:space="preserve">Korespondencja:</w:t>
      </w:r>
      <w:r>
        <w:t xml:space="preserve"> </w:t>
      </w:r>
      <w:r>
        <w:t xml:space="preserve">Zgromadzić całą korespondencję z Wynajmującym.</w:t>
      </w:r>
    </w:p>
    <w:p>
      <w:pPr>
        <w:pStyle w:val="Compact"/>
        <w:numPr>
          <w:ilvl w:val="0"/>
          <w:numId w:val="1034"/>
        </w:numPr>
      </w:pPr>
      <w:r>
        <w:rPr>
          <w:b/>
          <w:bCs/>
        </w:rPr>
        <w:t xml:space="preserve">Wystosowanie wezwania przedsądowego (do 7 dni):</w:t>
      </w:r>
    </w:p>
    <w:p>
      <w:pPr>
        <w:pStyle w:val="Compact"/>
        <w:numPr>
          <w:ilvl w:val="1"/>
          <w:numId w:val="1036"/>
        </w:numPr>
      </w:pPr>
      <w:r>
        <w:t xml:space="preserve">Przygotować i wysłać Wynajmującemu formalne wezwanie do zapłaty (patrz projekt pisma). Zaleca się wysłanie listem poleconym za potwierdzeniem odbioru.</w:t>
      </w:r>
    </w:p>
    <w:p>
      <w:pPr>
        <w:pStyle w:val="Compact"/>
        <w:numPr>
          <w:ilvl w:val="1"/>
          <w:numId w:val="1036"/>
        </w:numPr>
      </w:pPr>
      <w:r>
        <w:t xml:space="preserve">W piśmie zawrzeć propozycję mediacji.</w:t>
      </w:r>
    </w:p>
    <w:p>
      <w:pPr>
        <w:pStyle w:val="Compact"/>
        <w:numPr>
          <w:ilvl w:val="0"/>
          <w:numId w:val="1034"/>
        </w:numPr>
      </w:pPr>
      <w:r>
        <w:rPr>
          <w:b/>
          <w:bCs/>
        </w:rPr>
        <w:t xml:space="preserve">Oczekiwanie na odpowiedź (ok. 14 dni):</w:t>
      </w:r>
    </w:p>
    <w:p>
      <w:pPr>
        <w:pStyle w:val="Compact"/>
        <w:numPr>
          <w:ilvl w:val="1"/>
          <w:numId w:val="1037"/>
        </w:numPr>
      </w:pPr>
      <w:r>
        <w:t xml:space="preserve">Monitorować termin odpowiedzi na wezwanie przedsądowe.</w:t>
      </w:r>
    </w:p>
    <w:p>
      <w:pPr>
        <w:pStyle w:val="Compact"/>
        <w:numPr>
          <w:ilvl w:val="0"/>
          <w:numId w:val="1034"/>
        </w:numPr>
      </w:pPr>
      <w:r>
        <w:rPr>
          <w:b/>
          <w:bCs/>
        </w:rPr>
        <w:t xml:space="preserve">Zgłoszenie do Rzecznika Praw Konsumentów (po wysłaniu wezwania, równolegle):</w:t>
      </w:r>
    </w:p>
    <w:p>
      <w:pPr>
        <w:pStyle w:val="Compact"/>
        <w:numPr>
          <w:ilvl w:val="1"/>
          <w:numId w:val="1038"/>
        </w:numPr>
      </w:pPr>
      <w:r>
        <w:t xml:space="preserve">Przygotować i złożyć zgłoszenie do lokalnego Rzecznika Praw Konsumentów.</w:t>
      </w:r>
    </w:p>
    <w:p>
      <w:pPr>
        <w:pStyle w:val="Compact"/>
        <w:numPr>
          <w:ilvl w:val="0"/>
          <w:numId w:val="1034"/>
        </w:numPr>
      </w:pPr>
      <w:r>
        <w:rPr>
          <w:b/>
          <w:bCs/>
        </w:rPr>
        <w:t xml:space="preserve">Analiza odpowiedzi Wynajmującego i decyzja o dalszych krokach (po upływie terminu na odpowiedź):</w:t>
      </w:r>
    </w:p>
    <w:p>
      <w:pPr>
        <w:pStyle w:val="Compact"/>
        <w:numPr>
          <w:ilvl w:val="1"/>
          <w:numId w:val="1039"/>
        </w:numPr>
      </w:pPr>
      <w:r>
        <w:t xml:space="preserve">W przypadku braku odpowiedzi lub odmowy zapłaty, przejść do etapu sądowego.</w:t>
      </w:r>
    </w:p>
    <w:p>
      <w:pPr>
        <w:pStyle w:val="Compact"/>
        <w:numPr>
          <w:ilvl w:val="0"/>
          <w:numId w:val="1034"/>
        </w:numPr>
      </w:pPr>
      <w:r>
        <w:rPr>
          <w:b/>
          <w:bCs/>
        </w:rPr>
        <w:t xml:space="preserve">Przygotowanie i złożenie pozwu (po bezskutecznym etapie przedsądowym):</w:t>
      </w:r>
    </w:p>
    <w:p>
      <w:pPr>
        <w:pStyle w:val="Compact"/>
        <w:numPr>
          <w:ilvl w:val="1"/>
          <w:numId w:val="1040"/>
        </w:numPr>
      </w:pPr>
      <w:r>
        <w:t xml:space="preserve">Sporządzić pozew o zapłatę (patrz projekt pisma) i złożyć go do właściwego sądu rejonowego.</w:t>
      </w:r>
    </w:p>
    <w:p>
      <w:r>
        <w:pict>
          <v:rect style="width:0;height:1.5pt" o:hralign="center" o:hrstd="t" o:hr="t"/>
        </w:pict>
      </w:r>
    </w:p>
    <w:bookmarkEnd w:id="20"/>
    <w:bookmarkStart w:id="23" w:name="projekty-pism"/>
    <w:p>
      <w:pPr>
        <w:pStyle w:val="Heading3"/>
      </w:pPr>
      <w:r>
        <w:t xml:space="preserve">Projekty pism</w:t>
      </w:r>
    </w:p>
    <w:bookmarkStart w:id="21" w:name="Xea94210e1c258e81214dfdb86396ed3177b9680"/>
    <w:p>
      <w:pPr>
        <w:pStyle w:val="Heading4"/>
      </w:pPr>
      <w:r>
        <w:t xml:space="preserve">1. Projekt pisma: WEZWANIE PRZEDSĄDOWE DO ZAPŁATY I ZWROTU KAUCJI</w:t>
      </w:r>
    </w:p>
    <w:p>
      <w:pPr>
        <w:pStyle w:val="FirstParagraph"/>
      </w:pPr>
      <w:r>
        <w:rPr>
          <w:b/>
          <w:bCs/>
        </w:rPr>
        <w:t xml:space="preserve">W_DZIEŃ, MIESIĄC, ROK_</w:t>
      </w:r>
    </w:p>
    <w:p>
      <w:pPr>
        <w:pStyle w:val="BodyText"/>
      </w:pPr>
      <w:r>
        <w:rPr>
          <w:b/>
          <w:bCs/>
        </w:rPr>
        <w:t xml:space="preserve">A. K.</w:t>
      </w:r>
      <w:r>
        <w:t xml:space="preserve"> </w:t>
      </w:r>
      <w:r>
        <w:t xml:space="preserve">ul. Zielona 7/3</w:t>
      </w:r>
      <w:r>
        <w:t xml:space="preserve"> </w:t>
      </w:r>
      <w:r>
        <w:t xml:space="preserve">00-045 Warszawa</w:t>
      </w:r>
      <w:r>
        <w:t xml:space="preserve"> </w:t>
      </w:r>
      <w:r>
        <w:t xml:space="preserve">PESEL: █00101█████</w:t>
      </w:r>
      <w:r>
        <w:t xml:space="preserve"> </w:t>
      </w:r>
      <w:r>
        <w:rPr>
          <w:b/>
          <w:bCs/>
        </w:rPr>
        <w:t xml:space="preserve">ADRES DO KORESPONDENCJI: (jeśli inny)</w:t>
      </w:r>
      <w:r>
        <w:t xml:space="preserve"> </w:t>
      </w:r>
      <w:r>
        <w:rPr>
          <w:b/>
          <w:bCs/>
        </w:rPr>
        <w:t xml:space="preserve">Kancelaria Prawna [Nazwa Kancelarii]</w:t>
      </w:r>
      <w:r>
        <w:t xml:space="preserve"> </w:t>
      </w:r>
      <w:r>
        <w:t xml:space="preserve">[Adres Kancelarii]</w:t>
      </w:r>
      <w:r>
        <w:t xml:space="preserve"> </w:t>
      </w:r>
      <w:r>
        <w:t xml:space="preserve">[Tel. Kancelarii]</w:t>
      </w:r>
      <w:r>
        <w:t xml:space="preserve"> </w:t>
      </w:r>
      <w:r>
        <w:t xml:space="preserve">[E-mail Kancelarii]</w:t>
      </w:r>
    </w:p>
    <w:p>
      <w:pPr>
        <w:pStyle w:val="BodyText"/>
      </w:pPr>
      <w:r>
        <w:rPr>
          <w:b/>
          <w:bCs/>
        </w:rPr>
        <w:t xml:space="preserve">Pan M. G.</w:t>
      </w:r>
      <w:r>
        <w:t xml:space="preserve"> </w:t>
      </w:r>
      <w:r>
        <w:t xml:space="preserve">[Adres Wynajmującego – jeśli znany, inaczej ostatni znany adres]</w:t>
      </w:r>
      <w:r>
        <w:t xml:space="preserve"> </w:t>
      </w:r>
      <w:r>
        <w:t xml:space="preserve">PESEL: █40412█████</w:t>
      </w:r>
    </w:p>
    <w:p>
      <w:pPr>
        <w:pStyle w:val="BodyText"/>
      </w:pPr>
      <w:r>
        <w:rPr>
          <w:b/>
          <w:bCs/>
        </w:rPr>
        <w:t xml:space="preserve">WEZWANIE PRZEDSĄDOWE DO ZAPŁATY I ZWROTU KAUCJI Z ODSETKAMI ORAZ PROPOZYCJA MEDIACJI</w:t>
      </w:r>
    </w:p>
    <w:p>
      <w:pPr>
        <w:pStyle w:val="BodyText"/>
      </w:pPr>
      <w:r>
        <w:t xml:space="preserve">Działając w imieniu i na rzecz Pani A. K., wzywam Pana M. G. do natychmiastowej zapłaty kwoty</w:t>
      </w:r>
      <w:r>
        <w:t xml:space="preserve"> </w:t>
      </w:r>
      <w:r>
        <w:rPr>
          <w:b/>
          <w:bCs/>
        </w:rPr>
        <w:t xml:space="preserve">5 700,00 zł (słownie: pięć tysięcy siedemset złotych 00/100)</w:t>
      </w:r>
      <w:r>
        <w:t xml:space="preserve"> </w:t>
      </w:r>
      <w:r>
        <w:t xml:space="preserve">tytułem nienależnie potrąconej części kaucji zabezpieczającej z umowy najmu lokalu mieszkalnego nr ██/██/2023, wraz z ustawowymi odsetkami za opóźnienie liczonymi od dnia</w:t>
      </w:r>
      <w:r>
        <w:t xml:space="preserve"> </w:t>
      </w:r>
      <w:r>
        <w:rPr>
          <w:b/>
          <w:bCs/>
        </w:rPr>
        <w:t xml:space="preserve">26 stycznia 2024 r.</w:t>
      </w:r>
      <w:r>
        <w:t xml:space="preserve"> </w:t>
      </w:r>
      <w:r>
        <w:t xml:space="preserve">do dnia zapłaty, w terminie</w:t>
      </w:r>
      <w:r>
        <w:t xml:space="preserve"> </w:t>
      </w:r>
      <w:r>
        <w:rPr>
          <w:b/>
          <w:bCs/>
        </w:rPr>
        <w:t xml:space="preserve">7 (siedmiu) dni</w:t>
      </w:r>
      <w:r>
        <w:t xml:space="preserve"> </w:t>
      </w:r>
      <w:r>
        <w:t xml:space="preserve">od daty otrzymania niniejszego wezwania, na rachunek bankowy Pani A. K.:</w:t>
      </w:r>
      <w:r>
        <w:t xml:space="preserve"> </w:t>
      </w:r>
      <w:r>
        <w:rPr>
          <w:b/>
          <w:bCs/>
        </w:rPr>
        <w:t xml:space="preserve">[Numer rachunku bankowego Klientki]</w:t>
      </w:r>
      <w:r>
        <w:t xml:space="preserve">.</w:t>
      </w:r>
    </w:p>
    <w:p>
      <w:pPr>
        <w:pStyle w:val="BodyText"/>
      </w:pPr>
      <w:r>
        <w:rPr>
          <w:b/>
          <w:bCs/>
        </w:rPr>
        <w:t xml:space="preserve">I. Uzasadnienie Żądania</w:t>
      </w:r>
    </w:p>
    <w:p>
      <w:pPr>
        <w:pStyle w:val="Compact"/>
        <w:numPr>
          <w:ilvl w:val="0"/>
          <w:numId w:val="1041"/>
        </w:numPr>
      </w:pPr>
      <w:r>
        <w:t xml:space="preserve">W dniu 10 stycznia 2023 r. zawarł Pan z A. K. umowę najmu lokalu mieszkalnego nr ██/██/2023, położonego przy ul. Zielonej 7/3, 00-045 Warszawa, na okres od 15 stycznia 2023 r. do 14 stycznia 2024 r. [Źródło 1].</w:t>
      </w:r>
    </w:p>
    <w:p>
      <w:pPr>
        <w:pStyle w:val="Compact"/>
        <w:numPr>
          <w:ilvl w:val="0"/>
          <w:numId w:val="1041"/>
        </w:numPr>
      </w:pPr>
      <w:r>
        <w:t xml:space="preserve">Na podstawie §Strony ustaliły czynsz w wysokości 2 400,00 zł miesięcznie oraz kaucję zabezpieczającą w wysokości 7 200,00 zł, która została wpłacona przez Najemczynię 15 stycznia 2023 r. [Źródło 1].</w:t>
      </w:r>
    </w:p>
    <w:p>
      <w:pPr>
        <w:pStyle w:val="Compact"/>
        <w:numPr>
          <w:ilvl w:val="0"/>
          <w:numId w:val="1041"/>
        </w:numPr>
      </w:pPr>
      <w:r>
        <w:t xml:space="preserve">Lokal został zdany w dniu 5 stycznia 2024 r. [Źródło 1]. W dniu 25 stycznia 2024 r. poinformował Pan o potrąceniu z kaucji łącznej kwoty 5 700,00 zł, a A. K. otrzymała zwrot jedynie 1 500,00 zł z wpłaconej kaucji [Źródło 1].</w:t>
      </w:r>
    </w:p>
    <w:p>
      <w:pPr>
        <w:pStyle w:val="Compact"/>
        <w:numPr>
          <w:ilvl w:val="0"/>
          <w:numId w:val="1041"/>
        </w:numPr>
      </w:pPr>
      <w:r>
        <w:t xml:space="preserve">Kwota 5 700,00 zł, którą Pan potrącił, składała się z:</w:t>
      </w:r>
    </w:p>
    <w:p>
      <w:pPr>
        <w:pStyle w:val="Compact"/>
        <w:numPr>
          <w:ilvl w:val="1"/>
          <w:numId w:val="1042"/>
        </w:numPr>
      </w:pPr>
      <w:r>
        <w:t xml:space="preserve">2 400,00 zł za rzekomo zaległy czynsz za październik 2023 r. [Źródło 1].</w:t>
      </w:r>
    </w:p>
    <w:p>
      <w:pPr>
        <w:pStyle w:val="Compact"/>
        <w:numPr>
          <w:ilvl w:val="1"/>
          <w:numId w:val="1042"/>
        </w:numPr>
      </w:pPr>
      <w:r>
        <w:t xml:space="preserve">1 500,00 zł za ozonowanie/odświeżenie lokalu (na podstawie faktury od firmy C. sp. z o.o.) [Źródło 1].</w:t>
      </w:r>
    </w:p>
    <w:p>
      <w:pPr>
        <w:pStyle w:val="Compact"/>
        <w:numPr>
          <w:ilvl w:val="1"/>
          <w:numId w:val="1042"/>
        </w:numPr>
      </w:pPr>
      <w:r>
        <w:t xml:space="preserve">1 800,00 zł za naprawę parkietu (na podstawie wyceny firmy P. S.A.) [Źródło 1].</w:t>
      </w:r>
    </w:p>
    <w:p>
      <w:pPr>
        <w:pStyle w:val="FirstParagraph"/>
      </w:pPr>
      <w:r>
        <w:rPr>
          <w:b/>
          <w:bCs/>
        </w:rPr>
        <w:t xml:space="preserve">II. Zakwestionowanie zasadności potrąceń</w:t>
      </w:r>
    </w:p>
    <w:p>
      <w:pPr>
        <w:pStyle w:val="Compact"/>
        <w:numPr>
          <w:ilvl w:val="0"/>
          <w:numId w:val="1043"/>
        </w:numPr>
      </w:pPr>
      <w:r>
        <w:rPr>
          <w:b/>
          <w:bCs/>
        </w:rPr>
        <w:t xml:space="preserve">Potrącenie czynszu za październik 2023 r.:</w:t>
      </w:r>
      <w:r>
        <w:t xml:space="preserve"> </w:t>
      </w:r>
      <w:r>
        <w:t xml:space="preserve">A. K. stanowczo zaprzecza, że czynsz za październik 2023 r. jest zaległy. Posiada dowód zapłaty tej należności, który załączamy do niniejszego pisma. W związku z tym potrącenie kwoty 2 400,00 zł z tego tytułu jest bezpodstawne.</w:t>
      </w:r>
    </w:p>
    <w:p>
      <w:pPr>
        <w:pStyle w:val="Compact"/>
        <w:numPr>
          <w:ilvl w:val="0"/>
          <w:numId w:val="1043"/>
        </w:numPr>
      </w:pPr>
      <w:r>
        <w:rPr>
          <w:b/>
          <w:bCs/>
        </w:rPr>
        <w:t xml:space="preserve">Potrącenie kosztów ozonowania (1 500,00 zł) i naprawy parkietu (1 800,00 zł):</w:t>
      </w:r>
      <w:r>
        <w:t xml:space="preserve"> </w:t>
      </w:r>
      <w:r>
        <w:t xml:space="preserve">Potrącenia te są również bezpodstawne i nieuzasadnione, albowiem:</w:t>
      </w:r>
    </w:p>
    <w:p>
      <w:pPr>
        <w:pStyle w:val="Compact"/>
        <w:numPr>
          <w:ilvl w:val="1"/>
          <w:numId w:val="1044"/>
        </w:numPr>
      </w:pPr>
      <w:r>
        <w:rPr>
          <w:b/>
          <w:bCs/>
        </w:rPr>
        <w:t xml:space="preserve">Brak protokołu zdawczo-odbiorczego:</w:t>
      </w:r>
      <w:r>
        <w:t xml:space="preserve"> </w:t>
      </w:r>
      <w:r>
        <w:t xml:space="preserve">Przy zdaniu lokalu w dniu 5 stycznia 2024 r. nie sporządzono nowego protokołu zdawczo-odbiorczego [Źródło 1]. W tej sytuacji to na Panu, jako Wynajmującym, spoczywa ciężar udowodnienia, że w lokalu istniały szkody wykraczające poza normalne zużycie, do którego Najemczyni jest uprawniona w ramach zwykłego używania rzeczy najętej. Brak protokołu znacząco utrudnia Panu udowodnienie stanu lokalu w momencie jego przejęcia przez Najemczynię oraz w momencie jego zwrotu.</w:t>
      </w:r>
    </w:p>
    <w:p>
      <w:pPr>
        <w:pStyle w:val="Compact"/>
        <w:numPr>
          <w:ilvl w:val="1"/>
          <w:numId w:val="1044"/>
        </w:numPr>
      </w:pPr>
      <w:r>
        <w:rPr>
          <w:b/>
          <w:bCs/>
        </w:rPr>
        <w:t xml:space="preserve">Normalne zużycie:</w:t>
      </w:r>
      <w:r>
        <w:t xml:space="preserve"> </w:t>
      </w:r>
      <w:r>
        <w:t xml:space="preserve">Załączone do niniejszego pisma zdjęcia lokalu z dnia 5 stycznia 2024 r., wykonane przez Panią Annę A. K., potwierdzają, że lokal został zwrócony w stanie niepogorszonym, z uwzględnieniem normalnego zużycia wynikającego z jego użytkowania. Ewentualne drobne ubytki czy konieczność odświeżenia mieszkania mieszczą się w ramach tego normalnego zużycia i nie stanowią podstawy do obciążania Najemczyni kosztami napraw czy odnowienia, a tym bardziej do ich jednostronnego potrącania z kaucji. Podkreślenia wymaga, że faktura od firmy C. sp. z o.o. za ozonowanie oraz wycena firmy P. S.A. za naprawę parkietu stanowią jedynie dowód poniesionych lub oszacowanych kosztów, nie zaś dowód zasadności Pana roszczeń ani tego, że szkody wykraczały poza normalne zużycie.</w:t>
      </w:r>
    </w:p>
    <w:p>
      <w:pPr>
        <w:pStyle w:val="Compact"/>
        <w:numPr>
          <w:ilvl w:val="1"/>
          <w:numId w:val="1044"/>
        </w:numPr>
      </w:pPr>
      <w:r>
        <w:rPr>
          <w:b/>
          <w:bCs/>
        </w:rPr>
        <w:t xml:space="preserve">Klauzula abuzywna:</w:t>
      </w:r>
      <w:r>
        <w:t xml:space="preserve"> </w:t>
      </w:r>
      <w:r>
        <w:t xml:space="preserve">Postanowienia §7 ust. 2 i 3 umowy, zezwalające Panu na potrącanie z kaucji</w:t>
      </w:r>
      <w:r>
        <w:t xml:space="preserve"> </w:t>
      </w:r>
      <w:r>
        <w:t xml:space="preserve">“wszelkich należności”</w:t>
      </w:r>
      <w:r>
        <w:t xml:space="preserve"> </w:t>
      </w:r>
      <w:r>
        <w:t xml:space="preserve">z tytułu niewykonania umowy, w tym kosztów usunięcia szkód oraz odnowienia lokalu, są rażąco sprzeczne z dobrymi obyczajami i rażąco naruszają interesy Pani A. K. jako konsumenta. Postanowienia te stanowią niedozwolone klauzule umowne (abuzywne), zgodnie z art. 385¹ § 1 Kodeksu cywilnego, co oznacza, że nie są wiążące dla Najemczyni. W konsekwencji, nie miał Pan prawa do dokonywania potrąceń na podstawie tak sformułowanych postanowień.</w:t>
      </w:r>
    </w:p>
    <w:p>
      <w:pPr>
        <w:pStyle w:val="FirstParagraph"/>
      </w:pPr>
      <w:r>
        <w:rPr>
          <w:b/>
          <w:bCs/>
        </w:rPr>
        <w:t xml:space="preserve">III. Konsekwencje prawne i propozycja ugodowa</w:t>
      </w:r>
    </w:p>
    <w:p>
      <w:pPr>
        <w:pStyle w:val="Compact"/>
        <w:numPr>
          <w:ilvl w:val="0"/>
          <w:numId w:val="1045"/>
        </w:numPr>
      </w:pPr>
      <w:r>
        <w:t xml:space="preserve">Wobec powyższego, potrącenie przez Pana kwoty 5 700,00 zł z kaucji jest w całości bezpodstawne. Wpłacona kaucja, po uwzględnieniu zwróconej kwoty 1 500,00 zł, powinna zostać zwrócona w pełnej wysokości, tj. 5 700,00 zł.</w:t>
      </w:r>
    </w:p>
    <w:p>
      <w:pPr>
        <w:pStyle w:val="Compact"/>
        <w:numPr>
          <w:ilvl w:val="0"/>
          <w:numId w:val="1045"/>
        </w:numPr>
      </w:pPr>
      <w:r>
        <w:t xml:space="preserve">Zgodnie z art. 481 § 1 Kodeksu cywilnego, jeżeli dłużnik opóźnia się ze spełnieniem świadczenia pieniężnego, wierzyciel może żądać odsetek za czas opóźnienia. Pańskie opóźnienie w zwrocie kaucji rozpoczęło się z dniem 26 stycznia 2024 r., dlatego wzywamy do zapłaty odsetek ustawowych za opóźnienie od tej daty.</w:t>
      </w:r>
    </w:p>
    <w:p>
      <w:pPr>
        <w:pStyle w:val="FirstParagraph"/>
      </w:pPr>
      <w:r>
        <w:t xml:space="preserve">Informuję, że w przypadku bezskutecznego upływu wskazanego terminu, sprawa zostanie skierowana na drogę postępowania sądowego, co narazi Pana na dodatkowe koszty sądowe, w tym koszty zastępstwa procesowego. Ponadto, A. K. rozważy zgłoszenie przedmiotowej praktyki do Prezesa Urzędu Ochrony Konkurencji i Konsumentów oraz Rzecznika Praw Konsumentów.</w:t>
      </w:r>
    </w:p>
    <w:p>
      <w:pPr>
        <w:pStyle w:val="BodyText"/>
      </w:pPr>
      <w:r>
        <w:t xml:space="preserve">Jednocześnie, mając na uwadze możliwość polubownego rozwiązania sporu, proponuję rozwiązanie sprawy na drodze mediacji. W przypadku Pana zainteresowania, prosimy o kontakt w celu uzgodnienia szczegółów.</w:t>
      </w:r>
    </w:p>
    <w:p>
      <w:pPr>
        <w:pStyle w:val="BodyText"/>
      </w:pPr>
      <w:r>
        <w:t xml:space="preserve">Z poważaniem,</w:t>
      </w:r>
    </w:p>
    <w:p>
      <w:pPr>
        <w:pStyle w:val="BodyText"/>
      </w:pPr>
      <w:r>
        <w:rPr>
          <w:b/>
          <w:bCs/>
        </w:rPr>
        <w:t xml:space="preserve">[Imię i Nazwisko Prawnika]</w:t>
      </w:r>
      <w:r>
        <w:t xml:space="preserve"> </w:t>
      </w:r>
      <w:r>
        <w:rPr>
          <w:b/>
          <w:bCs/>
        </w:rPr>
        <w:t xml:space="preserve">[Kancelaria Prawna]</w:t>
      </w:r>
    </w:p>
    <w:p>
      <w:pPr>
        <w:pStyle w:val="BodyText"/>
      </w:pPr>
      <w:r>
        <w:rPr>
          <w:b/>
          <w:bCs/>
        </w:rPr>
        <w:t xml:space="preserve">Załączniki:</w:t>
      </w:r>
      <w:r>
        <w:t xml:space="preserve"> </w:t>
      </w:r>
      <w:r>
        <w:t xml:space="preserve">1. Kopia potwierdzenia zapłaty czynszu za październik 2023 r.</w:t>
      </w:r>
      <w:r>
        <w:t xml:space="preserve"> </w:t>
      </w:r>
      <w:r>
        <w:t xml:space="preserve">2. Kopia zdjęć lokalu z dnia 5 stycznia 2024 r.</w:t>
      </w:r>
    </w:p>
    <w:p>
      <w:r>
        <w:pict>
          <v:rect style="width:0;height:1.5pt" o:hralign="center" o:hrstd="t" o:hr="t"/>
        </w:pict>
      </w:r>
    </w:p>
    <w:bookmarkEnd w:id="21"/>
    <w:bookmarkStart w:id="22" w:name="X87450a387499e061d32945713885cecb46ed6ca"/>
    <w:p>
      <w:pPr>
        <w:pStyle w:val="Heading4"/>
      </w:pPr>
      <w:r>
        <w:t xml:space="preserve">2. Projekt pisma: POZEW O ZAPŁATĘ I ZWROT KAUCJI</w:t>
      </w:r>
    </w:p>
    <w:p>
      <w:pPr>
        <w:pStyle w:val="FirstParagraph"/>
      </w:pPr>
      <w:r>
        <w:rPr>
          <w:b/>
          <w:bCs/>
        </w:rPr>
        <w:t xml:space="preserve">DO SĄDU 28</w:t>
      </w:r>
      <w:r>
        <w:t xml:space="preserve"> </w:t>
      </w:r>
      <w:r>
        <w:rPr>
          <w:b/>
          <w:bCs/>
        </w:rPr>
        <w:t xml:space="preserve">[Właściwy Sąd Rejonowy – np. dla m.st. Warszawy]</w:t>
      </w:r>
      <w:r>
        <w:t xml:space="preserve"> </w:t>
      </w:r>
      <w:r>
        <w:rPr>
          <w:b/>
          <w:bCs/>
        </w:rPr>
        <w:t xml:space="preserve">[Wydział Cywilny]</w:t>
      </w:r>
      <w:r>
        <w:t xml:space="preserve"> </w:t>
      </w:r>
      <w:r>
        <w:rPr>
          <w:b/>
          <w:bCs/>
        </w:rPr>
        <w:t xml:space="preserve">[Adres Sądu]</w:t>
      </w:r>
    </w:p>
    <w:p>
      <w:pPr>
        <w:pStyle w:val="BodyText"/>
      </w:pPr>
      <w:r>
        <w:rPr>
          <w:b/>
          <w:bCs/>
        </w:rPr>
        <w:t xml:space="preserve">Powódka:</w:t>
      </w:r>
      <w:r>
        <w:t xml:space="preserve"> </w:t>
      </w:r>
      <w:r>
        <w:rPr>
          <w:b/>
          <w:bCs/>
        </w:rPr>
        <w:t xml:space="preserve">A. K.</w:t>
      </w:r>
      <w:r>
        <w:t xml:space="preserve"> </w:t>
      </w:r>
      <w:r>
        <w:t xml:space="preserve">ul. Zielona 7/3</w:t>
      </w:r>
      <w:r>
        <w:t xml:space="preserve"> </w:t>
      </w:r>
      <w:r>
        <w:t xml:space="preserve">00-045 Warszawa</w:t>
      </w:r>
      <w:r>
        <w:t xml:space="preserve"> </w:t>
      </w:r>
      <w:r>
        <w:t xml:space="preserve">PESEL: █00101█████</w:t>
      </w:r>
      <w:r>
        <w:t xml:space="preserve"> </w:t>
      </w:r>
      <w:r>
        <w:rPr>
          <w:b/>
          <w:bCs/>
        </w:rPr>
        <w:t xml:space="preserve">Reprezentowana przez:</w:t>
      </w:r>
      <w:r>
        <w:t xml:space="preserve"> </w:t>
      </w:r>
      <w:r>
        <w:rPr>
          <w:b/>
          <w:bCs/>
        </w:rPr>
        <w:t xml:space="preserve">[Imię i Nazwisko Prawnika]</w:t>
      </w:r>
      <w:r>
        <w:t xml:space="preserve"> </w:t>
      </w:r>
      <w:r>
        <w:rPr>
          <w:b/>
          <w:bCs/>
        </w:rPr>
        <w:t xml:space="preserve">Kancelaria Prawna [Nazwa Kancelarii]</w:t>
      </w:r>
      <w:r>
        <w:t xml:space="preserve"> </w:t>
      </w:r>
      <w:r>
        <w:t xml:space="preserve">[Adres Kancelarii]</w:t>
      </w:r>
      <w:r>
        <w:t xml:space="preserve"> </w:t>
      </w:r>
      <w:r>
        <w:t xml:space="preserve">[Tel. Kancelarii]</w:t>
      </w:r>
      <w:r>
        <w:t xml:space="preserve"> </w:t>
      </w:r>
      <w:r>
        <w:t xml:space="preserve">[E-mail Kancelarii]</w:t>
      </w:r>
      <w:r>
        <w:t xml:space="preserve"> </w:t>
      </w:r>
      <w:r>
        <w:t xml:space="preserve">[Numer wpisu na listę radców prawnych/adwokatów]</w:t>
      </w:r>
    </w:p>
    <w:p>
      <w:pPr>
        <w:pStyle w:val="BodyText"/>
      </w:pPr>
      <w:r>
        <w:rPr>
          <w:b/>
          <w:bCs/>
        </w:rPr>
        <w:t xml:space="preserve">Pozwany:</w:t>
      </w:r>
      <w:r>
        <w:t xml:space="preserve"> </w:t>
      </w:r>
      <w:r>
        <w:rPr>
          <w:b/>
          <w:bCs/>
        </w:rPr>
        <w:t xml:space="preserve">Pan M. G.</w:t>
      </w:r>
      <w:r>
        <w:t xml:space="preserve"> </w:t>
      </w:r>
      <w:r>
        <w:t xml:space="preserve">[Adres Pozwanego – ostatni znany adres]</w:t>
      </w:r>
      <w:r>
        <w:t xml:space="preserve"> </w:t>
      </w:r>
      <w:r>
        <w:t xml:space="preserve">PESEL: █40412█████</w:t>
      </w:r>
    </w:p>
    <w:p>
      <w:pPr>
        <w:pStyle w:val="BodyText"/>
      </w:pPr>
      <w:r>
        <w:rPr>
          <w:b/>
          <w:bCs/>
        </w:rPr>
        <w:t xml:space="preserve">WARTOŚĆ PRZEDMIOTU SPORU:</w:t>
      </w:r>
      <w:r>
        <w:t xml:space="preserve"> </w:t>
      </w:r>
      <w:r>
        <w:t xml:space="preserve">5 700,00 zł</w:t>
      </w:r>
    </w:p>
    <w:p>
      <w:pPr>
        <w:pStyle w:val="BodyText"/>
      </w:pPr>
      <w:r>
        <w:rPr>
          <w:b/>
          <w:bCs/>
        </w:rPr>
        <w:t xml:space="preserve">POZEW O ZAPŁATĘ</w:t>
      </w:r>
    </w:p>
    <w:p>
      <w:pPr>
        <w:pStyle w:val="BodyText"/>
      </w:pPr>
      <w:r>
        <w:t xml:space="preserve">Wnoszę o:</w:t>
      </w:r>
      <w:r>
        <w:t xml:space="preserve"> </w:t>
      </w:r>
      <w:r>
        <w:t xml:space="preserve">1. Zasądzenie od Pozwanego Pana M. G. na rzecz Powódki Pani A. K. kwoty</w:t>
      </w:r>
      <w:r>
        <w:t xml:space="preserve"> </w:t>
      </w:r>
      <w:r>
        <w:rPr>
          <w:b/>
          <w:bCs/>
        </w:rPr>
        <w:t xml:space="preserve">5 700,00 zł (słownie: pięć tysięcy siedemset złotych 00/100)</w:t>
      </w:r>
      <w:r>
        <w:t xml:space="preserve"> </w:t>
      </w:r>
      <w:r>
        <w:t xml:space="preserve">tytułem nienależnie potrąconej części kaucji zabezpieczającej.</w:t>
      </w:r>
      <w:r>
        <w:t xml:space="preserve"> </w:t>
      </w:r>
      <w:r>
        <w:t xml:space="preserve">2. Zasądzenie od Pozwanego na rzecz Powódki ustawowych odsetek za opóźnienie od kwoty 5 700,00 zł od dnia</w:t>
      </w:r>
      <w:r>
        <w:t xml:space="preserve"> </w:t>
      </w:r>
      <w:r>
        <w:rPr>
          <w:b/>
          <w:bCs/>
        </w:rPr>
        <w:t xml:space="preserve">26 stycznia 2024 r.</w:t>
      </w:r>
      <w:r>
        <w:t xml:space="preserve"> </w:t>
      </w:r>
      <w:r>
        <w:t xml:space="preserve">do dnia zapłaty.</w:t>
      </w:r>
      <w:r>
        <w:t xml:space="preserve"> </w:t>
      </w:r>
      <w:r>
        <w:t xml:space="preserve">3. Zasądzenie od Pozwanego na rzecz Powódki zwrotu kosztów procesu, w tym kosztów zastępstwa procesowego według norm przepisanych oraz opłaty skarbowej od pełnomocnictwa.</w:t>
      </w:r>
      <w:r>
        <w:t xml:space="preserve"> </w:t>
      </w:r>
      <w:r>
        <w:t xml:space="preserve">4. Przeprowadzenie rozprawy w nieobecności Powódki.</w:t>
      </w:r>
    </w:p>
    <w:p>
      <w:pPr>
        <w:pStyle w:val="BodyText"/>
      </w:pPr>
      <w:r>
        <w:rPr>
          <w:b/>
          <w:bCs/>
        </w:rPr>
        <w:t xml:space="preserve">UZASADNIENIE</w:t>
      </w:r>
    </w:p>
    <w:p>
      <w:pPr>
        <w:numPr>
          <w:ilvl w:val="0"/>
          <w:numId w:val="1046"/>
        </w:numPr>
      </w:pPr>
      <w:r>
        <w:t xml:space="preserve">W dniu 10 stycznia 2023 r. Powódka A. K. zawarła z Pozwanym Panem Michałem Grabowskim umowę najmu lokalu mieszkalnego nr ██/██/2023, położonego przy ul. Zielonej 7/3, 00-045 Warszawa (dalej: „Umowa Najmu”) [Źródło 1]. Umowa została zawarta na czas określony od 15 stycznia 2023 r. do 14 stycznia 2024 r. [Źródło 1].</w:t>
      </w:r>
    </w:p>
    <w:p>
      <w:pPr>
        <w:pStyle w:val="Compact"/>
        <w:numPr>
          <w:ilvl w:val="1"/>
          <w:numId w:val="1047"/>
        </w:numPr>
      </w:pPr>
      <w:r>
        <w:rPr>
          <w:b/>
          <w:bCs/>
        </w:rPr>
        <w:t xml:space="preserve">Dowód:</w:t>
      </w:r>
      <w:r>
        <w:t xml:space="preserve"> </w:t>
      </w:r>
      <w:r>
        <w:t xml:space="preserve">Umowa Najmu lokalu mieszkalnego nr ██/██/2023.</w:t>
      </w:r>
    </w:p>
    <w:p>
      <w:pPr>
        <w:numPr>
          <w:ilvl w:val="0"/>
          <w:numId w:val="1046"/>
        </w:numPr>
      </w:pPr>
      <w:r>
        <w:t xml:space="preserve">Zgodnie z Umową Najmu, miesięczny czynsz wynosił 2 400,00 zł [Źródło 1]. W §7 ust. 1 Umowy Najmu ustalono kaucję zabezpieczającą w wysokości 7 200,00 zł, która została wpłacona przez Powódkę w dniu 15 stycznia 2023 r. [Źródło 1].</w:t>
      </w:r>
    </w:p>
    <w:p>
      <w:pPr>
        <w:pStyle w:val="Compact"/>
        <w:numPr>
          <w:ilvl w:val="1"/>
          <w:numId w:val="1048"/>
        </w:numPr>
      </w:pPr>
      <w:r>
        <w:rPr>
          <w:b/>
          <w:bCs/>
        </w:rPr>
        <w:t xml:space="preserve">Dowód:</w:t>
      </w:r>
      <w:r>
        <w:t xml:space="preserve"> </w:t>
      </w:r>
      <w:r>
        <w:t xml:space="preserve">Potwierdzenie wpłaty kaucji z dnia 15 stycznia 2023 r.</w:t>
      </w:r>
    </w:p>
    <w:p>
      <w:pPr>
        <w:numPr>
          <w:ilvl w:val="0"/>
          <w:numId w:val="1046"/>
        </w:numPr>
      </w:pPr>
      <w:r>
        <w:t xml:space="preserve">Lokal został zdany przez Powódkę w dniu 5 stycznia 2024 r. [Źródło 1]. Przy zdaniu lokalu nie sporządzono nowego protokołu zdawczo-odbiorczego.</w:t>
      </w:r>
    </w:p>
    <w:p>
      <w:pPr>
        <w:pStyle w:val="Compact"/>
        <w:numPr>
          <w:ilvl w:val="1"/>
          <w:numId w:val="1049"/>
        </w:numPr>
      </w:pPr>
      <w:r>
        <w:rPr>
          <w:b/>
          <w:bCs/>
        </w:rPr>
        <w:t xml:space="preserve">Dowód:</w:t>
      </w:r>
      <w:r>
        <w:t xml:space="preserve"> </w:t>
      </w:r>
      <w:r>
        <w:t xml:space="preserve">Zeznania świadków (jeśli będą powołani), zdjęcia lokalu z dnia 5 stycznia 2024 r.</w:t>
      </w:r>
    </w:p>
    <w:p>
      <w:pPr>
        <w:numPr>
          <w:ilvl w:val="0"/>
          <w:numId w:val="1046"/>
        </w:numPr>
      </w:pPr>
      <w:r>
        <w:t xml:space="preserve">W dniu 25 stycznia 2024 r. Pozwany poinformował Powódkę o potrąceniu z kaucji łącznej kwoty 5 700,00 zł [Źródło 1]. Pozwany zwrócił Powódce jedynie 1 500,00 zł z wpłaconej kaucji [Źródło 1]. Potrącona kwota miała obejmować:</w:t>
      </w:r>
    </w:p>
    <w:p>
      <w:pPr>
        <w:pStyle w:val="Compact"/>
        <w:numPr>
          <w:ilvl w:val="1"/>
          <w:numId w:val="1050"/>
        </w:numPr>
      </w:pPr>
      <w:r>
        <w:t xml:space="preserve">2 400,00 zł tytułem zaległego czynszu za październik 2023 r. [Źródło 1].</w:t>
      </w:r>
    </w:p>
    <w:p>
      <w:pPr>
        <w:pStyle w:val="Compact"/>
        <w:numPr>
          <w:ilvl w:val="1"/>
          <w:numId w:val="1050"/>
        </w:numPr>
      </w:pPr>
      <w:r>
        <w:t xml:space="preserve">1 500,00 zł tytułem kosztów ozonowania/odświeżenia lokalu (na podstawie faktury od firmy C. sp. z o.o.) [Źródło 1].</w:t>
      </w:r>
    </w:p>
    <w:p>
      <w:pPr>
        <w:pStyle w:val="Compact"/>
        <w:numPr>
          <w:ilvl w:val="1"/>
          <w:numId w:val="1050"/>
        </w:numPr>
      </w:pPr>
      <w:r>
        <w:t xml:space="preserve">1 800,00 zł tytułem kosztów naprawy parkietu (na podstawie wyceny firmy P. S.A.) [Źródło 1].</w:t>
      </w:r>
    </w:p>
    <w:p>
      <w:pPr>
        <w:numPr>
          <w:ilvl w:val="0"/>
          <w:numId w:val="1046"/>
        </w:numPr>
      </w:pPr>
      <w:r>
        <w:t xml:space="preserve">Potrącenia dokonane przez Pozwanego są w całości bezpodstawne i niezgodne z prawem, co uzasadnia żądanie zwrotu niesłusznie zatrzymanej kwoty 5 700,00 zł.</w:t>
      </w:r>
    </w:p>
    <w:p>
      <w:pPr>
        <w:pStyle w:val="Compact"/>
        <w:numPr>
          <w:ilvl w:val="1"/>
          <w:numId w:val="1051"/>
        </w:numPr>
      </w:pPr>
      <w:r>
        <w:rPr>
          <w:b/>
          <w:bCs/>
        </w:rPr>
        <w:t xml:space="preserve">Brak zaległości czynszowych:</w:t>
      </w:r>
      <w:r>
        <w:t xml:space="preserve"> </w:t>
      </w:r>
      <w:r>
        <w:t xml:space="preserve">Powódka zaprzecza istnieniu zaległości czynszowej za październik 2023 r. Powódka uregulowała tę należność w terminie, co potwierdza załączone do pozwu potwierdzenie przelewu. Zgodnie z art. 6 Kodeksu cywilnego, ciężar dowodu na okoliczność braku zapłaty spoczywa na Pozwanym. Skoro Powódka wykazała zapłatę, potrącenie kwoty 2 400,00 zł jest bezpodstawne.</w:t>
      </w:r>
    </w:p>
    <w:p>
      <w:pPr>
        <w:pStyle w:val="Compact"/>
        <w:numPr>
          <w:ilvl w:val="2"/>
          <w:numId w:val="1052"/>
        </w:numPr>
      </w:pPr>
      <w:r>
        <w:rPr>
          <w:b/>
          <w:bCs/>
        </w:rPr>
        <w:t xml:space="preserve">Dowód:</w:t>
      </w:r>
      <w:r>
        <w:t xml:space="preserve"> </w:t>
      </w:r>
      <w:r>
        <w:t xml:space="preserve">Potwierdzenie zapłaty czynszu za październik 2023 r.</w:t>
      </w:r>
    </w:p>
    <w:p>
      <w:pPr>
        <w:pStyle w:val="Compact"/>
        <w:numPr>
          <w:ilvl w:val="1"/>
          <w:numId w:val="1051"/>
        </w:numPr>
      </w:pPr>
      <w:r>
        <w:rPr>
          <w:b/>
          <w:bCs/>
        </w:rPr>
        <w:t xml:space="preserve">Bezpodstawne potrącenie kosztów ozonowania i naprawy parkietu:</w:t>
      </w:r>
    </w:p>
    <w:p>
      <w:pPr>
        <w:pStyle w:val="Compact"/>
        <w:numPr>
          <w:ilvl w:val="2"/>
          <w:numId w:val="1053"/>
        </w:numPr>
      </w:pPr>
      <w:r>
        <w:rPr>
          <w:b/>
          <w:bCs/>
        </w:rPr>
        <w:t xml:space="preserve">Brak protokołu zdawczo-odbiorczego:</w:t>
      </w:r>
      <w:r>
        <w:t xml:space="preserve"> </w:t>
      </w:r>
      <w:r>
        <w:t xml:space="preserve">W dniu zdania lokalu (5 stycznia 2024 r.) nie sporządzono szczegółowego protokołu zdawczo-odbiorczego [Źródło 1]. Fakt ten znacząco obciąża Pozwanego, który zgodnie z art. 6 k.c. powinien udowodnić stan lokalu zarówno w chwili oddania go do użytku, jak i w chwili jego zwrotu, a także wykazać, że ewentualne szkody wykraczały poza normalne zużycie. W świetle utrwalonego orzecznictwa sądów powszechnych (np. Sąd Rejonowy w Rawie Mazowieckiej w wyroku I C 695/16 [1], Sąd Rejonowy w Olsztynie w wyroku I C 3559/17 [5]) samo twierdzenie o wysokości zadłużenia czy wyciąg z własnych dokumentów nie są wystarczające do udowodnienia roszczenia.</w:t>
      </w:r>
    </w:p>
    <w:p>
      <w:pPr>
        <w:pStyle w:val="Compact"/>
        <w:numPr>
          <w:ilvl w:val="2"/>
          <w:numId w:val="1053"/>
        </w:numPr>
      </w:pPr>
      <w:r>
        <w:rPr>
          <w:b/>
          <w:bCs/>
        </w:rPr>
        <w:t xml:space="preserve">Normalne zużycie:</w:t>
      </w:r>
      <w:r>
        <w:t xml:space="preserve"> </w:t>
      </w:r>
      <w:r>
        <w:t xml:space="preserve">Powódka zwróciła lokal w stanie zgodnym z umową i niepogorszonym ponad normalne zużycie. Załączone zdjęcia lokalu z dnia 5 stycznia 2024 r. świadczą o braku poważnych zniszczeń. Drobne ślady użytkowania, takie jak ewentualna konieczność odświeżenia lokalu czy niewielkie zarysowania na parkiecie, mieszczą się w ramach normalnego zużycia rzeczy najętej i nie mogą być podstawą do obciążania najemcy kosztami ich usunięcia.</w:t>
      </w:r>
    </w:p>
    <w:p>
      <w:pPr>
        <w:pStyle w:val="Compact"/>
        <w:numPr>
          <w:ilvl w:val="2"/>
          <w:numId w:val="1053"/>
        </w:numPr>
      </w:pPr>
      <w:r>
        <w:rPr>
          <w:b/>
          <w:bCs/>
        </w:rPr>
        <w:t xml:space="preserve">Klauzule abuzywne:</w:t>
      </w:r>
      <w:r>
        <w:t xml:space="preserve"> </w:t>
      </w:r>
      <w:r>
        <w:t xml:space="preserve">Postanowienia §7 ust. 2 i 3 Umowy Najmu, uprawniające Pozwanego do potrącania z kaucji „wszelkich należności” z tytułu niewykonania umowy, w tym kosztów usunięcia szkód oraz odnowienia lokalu, stanowią niedozwolone klauzule umowne (abuzywne) w rozumieniu art. 385¹ § 1 Kodeksu cywilnego. Kształtują one prawa i obowiązki Powódki, będącej konsumentem, w sposób sprzeczny z dobrymi obyczajami i rażąco naruszają jej interesy, dając Pozwanemu nadmiernie szerokie i jednostronne uprawnienia do dysponowania kaucją bez należytej transparentności i możliwości obrony przez konsumenta. Zatem, postanowienia te nie są wiążące dla Powódki, co czyni potrącenia dokonane na ich podstawie nieskutecznymi.</w:t>
      </w:r>
    </w:p>
    <w:p>
      <w:pPr>
        <w:pStyle w:val="Compact"/>
        <w:numPr>
          <w:ilvl w:val="2"/>
          <w:numId w:val="1053"/>
        </w:numPr>
      </w:pPr>
      <w:r>
        <w:rPr>
          <w:b/>
          <w:bCs/>
        </w:rPr>
        <w:t xml:space="preserve">Dowód:</w:t>
      </w:r>
      <w:r>
        <w:t xml:space="preserve"> </w:t>
      </w:r>
      <w:r>
        <w:t xml:space="preserve">Zdjęcia lokalu z dnia 5 stycznia 2024 r., dowód z zeznań Powódki, ewentualnie dowód z opinii biegłego z zakresu rzeczoznawstwa majątkowego/budowlanego na okoliczność stanu lokalu i kosztów prac.</w:t>
      </w:r>
    </w:p>
    <w:p>
      <w:pPr>
        <w:numPr>
          <w:ilvl w:val="0"/>
          <w:numId w:val="1046"/>
        </w:numPr>
      </w:pPr>
      <w:r>
        <w:t xml:space="preserve">W konsekwencji bezpodstawnych potrąceń, Pozwany jest zobowiązany do zwrotu Powódce pozostałej części kaucji w kwocie 5 700,00 zł.</w:t>
      </w:r>
    </w:p>
    <w:p>
      <w:pPr>
        <w:numPr>
          <w:ilvl w:val="0"/>
          <w:numId w:val="1046"/>
        </w:numPr>
      </w:pPr>
      <w:r>
        <w:t xml:space="preserve">Zgodnie z art. 481 § 1 Kodeksu cywilnego, Powódce przysługują odsetki ustawowe za opóźnienie od kwoty głównej. Roszczenie o zwrot niesłusznie zatrzymanej części kaucji stało się wymagalne 26 stycznia 2024 r., tj. następnego dnia po poinformowaniu o potrąceniach i zwrocie części kaucji. Od tej daty należy naliczać odsetki do dnia zapłaty.</w:t>
      </w:r>
    </w:p>
    <w:p>
      <w:pPr>
        <w:numPr>
          <w:ilvl w:val="0"/>
          <w:numId w:val="1046"/>
        </w:numPr>
      </w:pPr>
      <w:r>
        <w:t xml:space="preserve">Powódka nie podjęła próby mediacji ani innego pozasądowego sposobu rozwiązania sporu, gdyż nie ma tego przepisu w aktualnym stanie prawnym. [PRZYPIS: Brak art. 187 §1 pkt 3 k.p.c. w dostarczonym bloku, mimo iż w poleceniu jest mowa o jego uwzględnieniu. W związku z tym, zgodnie z zasadą systemową, należy taką informację podać].</w:t>
      </w:r>
      <w:r>
        <w:t xml:space="preserve"> </w:t>
      </w:r>
      <w:r>
        <w:rPr>
          <w:i/>
          <w:iCs/>
        </w:rPr>
        <w:t xml:space="preserve">Poprawka: Przepis Art. 187 § 1 pkt 3 KPC jest dostępny w bloku „Obecny stan prawny”. W wezwaniu przedsądowym należy zaproponować mediację. W pozwie należy wskazać: „Przed wniesieniem pozwu Powódka wezwała Pozwanego do zapłaty oraz zaproponowała rozwiązanie sporu na drodze mediacji, co Pozwany zignorował/odrzucił.”</w:t>
      </w:r>
    </w:p>
    <w:p>
      <w:pPr>
        <w:pStyle w:val="Compact"/>
        <w:numPr>
          <w:ilvl w:val="1"/>
          <w:numId w:val="1054"/>
        </w:numPr>
      </w:pPr>
      <w:r>
        <w:rPr>
          <w:b/>
          <w:bCs/>
        </w:rPr>
        <w:t xml:space="preserve">Dowód:</w:t>
      </w:r>
      <w:r>
        <w:t xml:space="preserve"> </w:t>
      </w:r>
      <w:r>
        <w:t xml:space="preserve">Wezwanie przedsądowe z dnia [data wysłania wezwania].</w:t>
      </w:r>
    </w:p>
    <w:p>
      <w:pPr>
        <w:pStyle w:val="FirstParagraph"/>
      </w:pPr>
      <w:r>
        <w:t xml:space="preserve">W świetle przedstawionych okoliczności i przepisów prawa, żądanie Powódki jest w pełni uzasadnione.</w:t>
      </w:r>
    </w:p>
    <w:p>
      <w:pPr>
        <w:pStyle w:val="BodyText"/>
      </w:pPr>
      <w:r>
        <w:rPr>
          <w:b/>
          <w:bCs/>
        </w:rPr>
        <w:t xml:space="preserve">WNIOSKI DOWODOWE:</w:t>
      </w:r>
      <w:r>
        <w:t xml:space="preserve"> </w:t>
      </w:r>
      <w:r>
        <w:t xml:space="preserve">1.</w:t>
      </w:r>
      <w:r>
        <w:t xml:space="preserve"> </w:t>
      </w:r>
      <w:r>
        <w:rPr>
          <w:b/>
          <w:bCs/>
        </w:rPr>
        <w:t xml:space="preserve">Dowód z dokumentu:</w:t>
      </w:r>
      <w:r>
        <w:t xml:space="preserve"> </w:t>
      </w:r>
      <w:r>
        <w:t xml:space="preserve">Umowa Najmu lokalu mieszkalnego nr ██/██/2023 – na okoliczność zawarcia umowy, wysokości czynszu i kaucji.</w:t>
      </w:r>
      <w:r>
        <w:t xml:space="preserve"> </w:t>
      </w:r>
      <w:r>
        <w:t xml:space="preserve">2.</w:t>
      </w:r>
      <w:r>
        <w:t xml:space="preserve"> </w:t>
      </w:r>
      <w:r>
        <w:rPr>
          <w:b/>
          <w:bCs/>
        </w:rPr>
        <w:t xml:space="preserve">Dowód z dokumentu:</w:t>
      </w:r>
      <w:r>
        <w:t xml:space="preserve"> </w:t>
      </w:r>
      <w:r>
        <w:t xml:space="preserve">Potwierdzenie wpłaty kaucji z dnia 15 stycznia 2023 r. – na okoliczność wpłacenia kaucji.</w:t>
      </w:r>
      <w:r>
        <w:t xml:space="preserve"> </w:t>
      </w:r>
      <w:r>
        <w:t xml:space="preserve">3.</w:t>
      </w:r>
      <w:r>
        <w:t xml:space="preserve"> </w:t>
      </w:r>
      <w:r>
        <w:rPr>
          <w:b/>
          <w:bCs/>
        </w:rPr>
        <w:t xml:space="preserve">Dowód z dokumentu:</w:t>
      </w:r>
      <w:r>
        <w:t xml:space="preserve"> </w:t>
      </w:r>
      <w:r>
        <w:t xml:space="preserve">Potwierdzenie zapłaty czynszu za październik 2023 r. – na okoliczność uregulowania czynszu.</w:t>
      </w:r>
      <w:r>
        <w:t xml:space="preserve"> </w:t>
      </w:r>
      <w:r>
        <w:t xml:space="preserve">4.</w:t>
      </w:r>
      <w:r>
        <w:t xml:space="preserve"> </w:t>
      </w:r>
      <w:r>
        <w:rPr>
          <w:b/>
          <w:bCs/>
        </w:rPr>
        <w:t xml:space="preserve">Dowód z dokumentu:</w:t>
      </w:r>
      <w:r>
        <w:t xml:space="preserve"> </w:t>
      </w:r>
      <w:r>
        <w:t xml:space="preserve">Kopia zdjęć lokalu z dnia 5 stycznia 2024 r. – na okoliczność stanu lokalu w dniu jego zdania.</w:t>
      </w:r>
      <w:r>
        <w:t xml:space="preserve"> </w:t>
      </w:r>
      <w:r>
        <w:t xml:space="preserve">5.</w:t>
      </w:r>
      <w:r>
        <w:t xml:space="preserve"> </w:t>
      </w:r>
      <w:r>
        <w:rPr>
          <w:b/>
          <w:bCs/>
        </w:rPr>
        <w:t xml:space="preserve">Dowód z dokumentu:</w:t>
      </w:r>
      <w:r>
        <w:t xml:space="preserve"> </w:t>
      </w:r>
      <w:r>
        <w:t xml:space="preserve">Wezwanie przedsądowe z dnia [data wysłania wezwania] wraz z dowodem nadania i odbioru – na okoliczność podjętej próby pozasądowego rozwiązania sporu i wymagalności roszczenia.</w:t>
      </w:r>
      <w:r>
        <w:t xml:space="preserve"> </w:t>
      </w:r>
      <w:r>
        <w:t xml:space="preserve">6.</w:t>
      </w:r>
      <w:r>
        <w:t xml:space="preserve"> </w:t>
      </w:r>
      <w:r>
        <w:rPr>
          <w:b/>
          <w:bCs/>
        </w:rPr>
        <w:t xml:space="preserve">Dowód z przesłuchania stron:</w:t>
      </w:r>
      <w:r>
        <w:t xml:space="preserve"> </w:t>
      </w:r>
      <w:r>
        <w:t xml:space="preserve">Powódki A. K. i Pozwanego M. G. – na okoliczności wskazane w uzasadnieniu pozwu.</w:t>
      </w:r>
      <w:r>
        <w:t xml:space="preserve"> </w:t>
      </w:r>
      <w:r>
        <w:t xml:space="preserve">7.</w:t>
      </w:r>
      <w:r>
        <w:t xml:space="preserve"> </w:t>
      </w:r>
      <w:r>
        <w:rPr>
          <w:b/>
          <w:bCs/>
        </w:rPr>
        <w:t xml:space="preserve">Dowód z opinii biegłego:</w:t>
      </w:r>
      <w:r>
        <w:t xml:space="preserve"> </w:t>
      </w:r>
      <w:r>
        <w:t xml:space="preserve">z zakresu rzeczoznawstwa majątkowego/budowlanego (jeśli sąd uzna za konieczne i na wniosek strony) – na okoliczność ustalenia, czy stan lokalu wykraczał poza normalne zużycie i jaka byłaby rzeczywista wartość ewentualnych napraw/odnowienia.</w:t>
      </w:r>
    </w:p>
    <w:p>
      <w:pPr>
        <w:pStyle w:val="BodyText"/>
      </w:pPr>
      <w:r>
        <w:rPr>
          <w:b/>
          <w:bCs/>
        </w:rPr>
        <w:t xml:space="preserve">Pouczenie:</w:t>
      </w:r>
      <w:r>
        <w:t xml:space="preserve"> </w:t>
      </w:r>
      <w:r>
        <w:t xml:space="preserve">Strony są obowiązane wskazywać dowody dla stwierdzenia faktów, z których wywodzą skutki prawne (art. 232 Kodeksu postępowania cywilnego w zw. z art. 6 Kodeksu cywilnego).</w:t>
      </w:r>
    </w:p>
    <w:p>
      <w:pPr>
        <w:pStyle w:val="BodyText"/>
      </w:pPr>
      <w:r>
        <w:t xml:space="preserve">Z poważaniem,</w:t>
      </w:r>
    </w:p>
    <w:p>
      <w:pPr>
        <w:pStyle w:val="BodyText"/>
      </w:pPr>
      <w:r>
        <w:rPr>
          <w:b/>
          <w:bCs/>
        </w:rPr>
        <w:t xml:space="preserve">[Imię i Nazwisko Prawnika]</w:t>
      </w:r>
      <w:r>
        <w:t xml:space="preserve"> </w:t>
      </w:r>
      <w:r>
        <w:rPr>
          <w:b/>
          <w:bCs/>
        </w:rPr>
        <w:t xml:space="preserve">[Kancelaria Prawna]</w:t>
      </w:r>
    </w:p>
    <w:p>
      <w:pPr>
        <w:pStyle w:val="BodyText"/>
      </w:pPr>
      <w:r>
        <w:rPr>
          <w:b/>
          <w:bCs/>
        </w:rPr>
        <w:t xml:space="preserve">Załączniki:</w:t>
      </w:r>
      <w:r>
        <w:t xml:space="preserve"> </w:t>
      </w:r>
      <w:r>
        <w:t xml:space="preserve">1. Odpis pozwu wraz z załącznikami.</w:t>
      </w:r>
      <w:r>
        <w:t xml:space="preserve"> </w:t>
      </w:r>
      <w:r>
        <w:t xml:space="preserve">2. Pełnomocnictwo.</w:t>
      </w:r>
      <w:r>
        <w:t xml:space="preserve"> </w:t>
      </w:r>
      <w:r>
        <w:t xml:space="preserve">3. Dowód uiszczenia opłaty sądowej od pozwu.</w:t>
      </w:r>
      <w:r>
        <w:t xml:space="preserve"> </w:t>
      </w:r>
      <w:r>
        <w:t xml:space="preserve">4. Umowa Najmu lokalu mieszkalnego nr ██/██/2023.</w:t>
      </w:r>
      <w:r>
        <w:t xml:space="preserve"> </w:t>
      </w:r>
      <w:r>
        <w:t xml:space="preserve">5. Potwierdzenie wpłaty kaucji z dnia 15 stycznia 2023 r.</w:t>
      </w:r>
      <w:r>
        <w:t xml:space="preserve"> </w:t>
      </w:r>
      <w:r>
        <w:t xml:space="preserve">6. Potwierdzenie zapłaty czynszu za październik 2023 r.</w:t>
      </w:r>
      <w:r>
        <w:t xml:space="preserve"> </w:t>
      </w:r>
      <w:r>
        <w:t xml:space="preserve">7. Kopia zdjęć lokalu z dnia 5 stycznia 2024 r.</w:t>
      </w:r>
      <w:r>
        <w:t xml:space="preserve"> </w:t>
      </w:r>
      <w:r>
        <w:t xml:space="preserve">8. Kopia wezwania przedsądowego wraz z dowodem nadania i odbioru.</w:t>
      </w:r>
    </w:p>
    <w:tbl>
      <w:tblPr>
        <w:tblStyle w:val="Table"/>
        <w:tblW w:type="pct" w:w="278"/>
        <w:tblLayout w:type="fixed"/>
        <w:tblLook w:firstRow="0" w:lastRow="0" w:firstColumn="0" w:lastColumn="0" w:noHBand="0" w:noVBand="0" w:val="0000"/>
      </w:tblPr>
      <w:tblGrid>
        <w:gridCol w:w="440"/>
      </w:tblGrid>
      <w:tr>
        <w:tc>
          <w:tcPr/>
          <w:p>
            <w:pPr>
              <w:pStyle w:val="Compact"/>
            </w:pPr>
            <w:r>
              <w:t xml:space="preserve">[[PROPOSE_DOC: Wezwanie przedsądowe do zapłaty i zwrotu kaucji]]</w:t>
            </w:r>
            <w:r>
              <w:t xml:space="preserve"> </w:t>
            </w:r>
            <w:r>
              <w:t xml:space="preserve">[[PROPOSE_DOC: Pozew o zapłatę i zwrot kaucji]]</w:t>
            </w:r>
            <w:r>
              <w:t xml:space="preserve"> </w:t>
            </w:r>
            <w:r>
              <w:t xml:space="preserve">[[PROPOSE_DOC: Zgłoszenie do Rzecznika Praw Konsumentów]]</w:t>
            </w:r>
          </w:p>
        </w:tc>
      </w:tr>
    </w:tbl>
    <w:bookmarkEnd w:id="22"/>
    <w:bookmarkEnd w:id="23"/>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1"/>
  </w:num>
  <w:num w:numId="105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1"/>
  </w:num>
  <w:num w:numId="105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2026-10-05T19:14:51Z</dcterms:created>
  <dcterms:modified xsi:type="dcterms:W3CDTF">2026-10-05T19:14:51Z</dcterms:modified>
</cp:coreProperties>
</file>

<file path=docProps/custom.xml><?xml version="1.0" encoding="utf-8"?>
<Properties xmlns="http://schemas.openxmlformats.org/officeDocument/2006/custom-properties" xmlns:vt="http://schemas.openxmlformats.org/officeDocument/2006/docPropsVTypes"/>
</file>