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sprawa-52-rozwiązanie-casebox"/>
    <w:p>
      <w:pPr>
        <w:pStyle w:val="Heading1"/>
      </w:pPr>
      <w:r>
        <w:t xml:space="preserve">Sprawa 52 — rozwiązanie CaseBox</w:t>
      </w:r>
    </w:p>
    <w:bookmarkStart w:id="9" w:name="część-ii.-rozwiązanie-case-project-api"/>
    <w:p>
      <w:pPr>
        <w:pStyle w:val="Heading2"/>
      </w:pPr>
      <w:r>
        <w:t xml:space="preserve">CZĘŚĆ II. ROZWIĄZANIE (Case Project API)</w:t>
      </w:r>
    </w:p>
    <w:bookmarkEnd w:id="9"/>
    <w:bookmarkStart w:id="10" w:name="podsumowanie-sprawy"/>
    <w:p>
      <w:pPr>
        <w:pStyle w:val="Heading2"/>
      </w:pPr>
      <w:r>
        <w:t xml:space="preserve">Podsumowanie sprawy</w:t>
      </w:r>
    </w:p>
    <w:p>
      <w:pPr>
        <w:pStyle w:val="FirstParagraph"/>
      </w:pPr>
      <w:r>
        <w:t xml:space="preserve">Sprawa dotyczy Pani M. K., prowadzącej kawiarnię „Słodka Przystań” (Najemca), która zawarła 1 marca 2023 r. umowę najmu lokalu użytkowego na 5 lat ze spółką „O. N.” (Wynajmujący) [Źródło 1]. Umowa najmu zawierała klauzulę (§9 pkt 3) bezwzględnie zakazującą Najemcy oddawania lokalu (lub jego części) do używania osobie trzeciej bez uprzedniej pisemnej zgody Wynajmującego, pod rygorem wypowiedzenia umowy z 30-dniowym okresem wypowiedzenia, bez zwrotu kaucji i z możliwością dochodzenia odszkodowania [Źródło 1].</w:t>
      </w:r>
    </w:p>
    <w:p>
      <w:pPr>
        <w:pStyle w:val="BodyText"/>
      </w:pPr>
      <w:r>
        <w:t xml:space="preserve">15 listopada 2024 r. Najemca zawarła z „E.” sp.k. (Podnajemca/strona trzecia) „Umowę współpracy eventowej”, udostępniając część lokalu (ok. 20 m2 + zaplecze kuchenne) w wybrane dni (piątki, soboty 18:00–23:30) za miesięczną opłatą 3 000 zł netto, bez pisemnej zgody Wynajmującego [Źródło 1].</w:t>
      </w:r>
    </w:p>
    <w:p>
      <w:pPr>
        <w:pStyle w:val="BodyText"/>
      </w:pPr>
      <w:r>
        <w:t xml:space="preserve">Po skargach sąsiadów i Podnajemcy, Wynajmujący uznał to za naruszenie umowy [Źródło 1]. Mimo wezwań do zaprzestania działalności, Najemca utrzymywała, że jest to „współpraca handlowa” [Źródło 1]. 10 lutego 2025 r. Wynajmujący wypowiedział umowę najmu ze skutkiem na 12 marca 2025 r., potrącając kaucję 25 000 zł na poczet szkód i żądając dodatkowych 15 000 zł odszkodowania [Źródło 1].</w:t>
      </w:r>
    </w:p>
    <w:p>
      <w:pPr>
        <w:pStyle w:val="BodyText"/>
      </w:pPr>
      <w:r>
        <w:t xml:space="preserve">P. K. kwestionuje legalność wypowiedzenia, brak udowodnienia szkód przez Wynajmującego i domaga się utrzymania najmu lub zwrotu kaucji oraz odszkodowania za bezzasadne wypowiedzenie [Źródło 1]. „E.” sp.k. również grozi roszczeniami wobec Najemcy [Źródło 1]. Kancelaria ma ocenić sytuację prawną i zaproponować strategię działania.</w:t>
      </w:r>
    </w:p>
    <w:bookmarkEnd w:id="10"/>
    <w:bookmarkStart w:id="11" w:name="kluczowe-dane"/>
    <w:p>
      <w:pPr>
        <w:pStyle w:val="Heading2"/>
      </w:pPr>
      <w:r>
        <w:t xml:space="preserve">Kluczowe dane</w:t>
      </w:r>
    </w:p>
    <w:p>
      <w:pPr>
        <w:pStyle w:val="Compact"/>
        <w:numPr>
          <w:ilvl w:val="0"/>
          <w:numId w:val="1001"/>
        </w:numPr>
      </w:pPr>
      <w:r>
        <w:rPr>
          <w:b/>
          <w:bCs/>
        </w:rPr>
        <w:t xml:space="preserve">Wynajmujący:</w:t>
      </w:r>
      <w:r>
        <w:t xml:space="preserve"> </w:t>
      </w:r>
      <w:r>
        <w:t xml:space="preserve">Spółka z o.o.</w:t>
      </w:r>
      <w:r>
        <w:t xml:space="preserve"> </w:t>
      </w:r>
      <w:r>
        <w:t xml:space="preserve">“O. N.”</w:t>
      </w:r>
      <w:r>
        <w:t xml:space="preserve"> </w:t>
      </w:r>
      <w:r>
        <w:t xml:space="preserve">[Źródło 1]</w:t>
      </w:r>
    </w:p>
    <w:p>
      <w:pPr>
        <w:pStyle w:val="Compact"/>
        <w:numPr>
          <w:ilvl w:val="0"/>
          <w:numId w:val="1001"/>
        </w:numPr>
      </w:pPr>
      <w:r>
        <w:rPr>
          <w:b/>
          <w:bCs/>
        </w:rPr>
        <w:t xml:space="preserve">Najemca (Klient kancelarii):</w:t>
      </w:r>
      <w:r>
        <w:t xml:space="preserve"> </w:t>
      </w:r>
      <w:r>
        <w:t xml:space="preserve">Pani M. K., prowadząca działalność „Kawiarnia Słodka Przystań” [Źródło 1]</w:t>
      </w:r>
    </w:p>
    <w:p>
      <w:pPr>
        <w:pStyle w:val="Compact"/>
        <w:numPr>
          <w:ilvl w:val="0"/>
          <w:numId w:val="1001"/>
        </w:numPr>
      </w:pPr>
      <w:r>
        <w:rPr>
          <w:b/>
          <w:bCs/>
        </w:rPr>
        <w:t xml:space="preserve">Podnajemca/strona trzecia:</w:t>
      </w:r>
      <w:r>
        <w:t xml:space="preserve"> </w:t>
      </w:r>
      <w:r>
        <w:t xml:space="preserve">Spółka komandytowa „E.” [Źródło 1]</w:t>
      </w:r>
    </w:p>
    <w:p>
      <w:pPr>
        <w:pStyle w:val="Compact"/>
        <w:numPr>
          <w:ilvl w:val="0"/>
          <w:numId w:val="1001"/>
        </w:numPr>
      </w:pPr>
      <w:r>
        <w:rPr>
          <w:b/>
          <w:bCs/>
        </w:rPr>
        <w:t xml:space="preserve">Data zawarcia umowy najmu:</w:t>
      </w:r>
      <w:r>
        <w:t xml:space="preserve"> </w:t>
      </w:r>
      <w:r>
        <w:t xml:space="preserve">1 marca 2023 r. [Źródło 1]</w:t>
      </w:r>
    </w:p>
    <w:p>
      <w:pPr>
        <w:pStyle w:val="Compact"/>
        <w:numPr>
          <w:ilvl w:val="0"/>
          <w:numId w:val="1001"/>
        </w:numPr>
      </w:pPr>
      <w:r>
        <w:rPr>
          <w:b/>
          <w:bCs/>
        </w:rPr>
        <w:t xml:space="preserve">Czas trwania umowy najmu:</w:t>
      </w:r>
      <w:r>
        <w:t xml:space="preserve"> </w:t>
      </w:r>
      <w:r>
        <w:t xml:space="preserve">5 lat [Źródło 1]</w:t>
      </w:r>
    </w:p>
    <w:p>
      <w:pPr>
        <w:pStyle w:val="Compact"/>
        <w:numPr>
          <w:ilvl w:val="0"/>
          <w:numId w:val="1001"/>
        </w:numPr>
      </w:pPr>
      <w:r>
        <w:rPr>
          <w:b/>
          <w:bCs/>
        </w:rPr>
        <w:t xml:space="preserve">Miesięczny czynsz najmu:</w:t>
      </w:r>
      <w:r>
        <w:t xml:space="preserve"> </w:t>
      </w:r>
      <w:r>
        <w:t xml:space="preserve">8 500 zł netto [Źródło 1]</w:t>
      </w:r>
    </w:p>
    <w:p>
      <w:pPr>
        <w:pStyle w:val="Compact"/>
        <w:numPr>
          <w:ilvl w:val="0"/>
          <w:numId w:val="1001"/>
        </w:numPr>
      </w:pPr>
      <w:r>
        <w:rPr>
          <w:b/>
          <w:bCs/>
        </w:rPr>
        <w:t xml:space="preserve">Kaucja:</w:t>
      </w:r>
      <w:r>
        <w:t xml:space="preserve"> </w:t>
      </w:r>
      <w:r>
        <w:t xml:space="preserve">25 000 zł [Źródło 1]</w:t>
      </w:r>
    </w:p>
    <w:p>
      <w:pPr>
        <w:pStyle w:val="Compact"/>
        <w:numPr>
          <w:ilvl w:val="0"/>
          <w:numId w:val="1001"/>
        </w:numPr>
      </w:pPr>
      <w:r>
        <w:rPr>
          <w:b/>
          <w:bCs/>
        </w:rPr>
        <w:t xml:space="preserve">Data zawarcia „Umowy współpracy eventowej”:</w:t>
      </w:r>
      <w:r>
        <w:t xml:space="preserve"> </w:t>
      </w:r>
      <w:r>
        <w:t xml:space="preserve">15 listopada 2024 r. [Źródło 1]</w:t>
      </w:r>
    </w:p>
    <w:p>
      <w:pPr>
        <w:pStyle w:val="Compact"/>
        <w:numPr>
          <w:ilvl w:val="0"/>
          <w:numId w:val="1001"/>
        </w:numPr>
      </w:pPr>
      <w:r>
        <w:rPr>
          <w:b/>
          <w:bCs/>
        </w:rPr>
        <w:t xml:space="preserve">Część lokalu udostępniona „E.”:</w:t>
      </w:r>
      <w:r>
        <w:t xml:space="preserve"> </w:t>
      </w:r>
      <w:r>
        <w:t xml:space="preserve">ok. 20 m2 + zaplecze kuchenne [Źródło 1]</w:t>
      </w:r>
    </w:p>
    <w:p>
      <w:pPr>
        <w:pStyle w:val="Compact"/>
        <w:numPr>
          <w:ilvl w:val="0"/>
          <w:numId w:val="1001"/>
        </w:numPr>
      </w:pPr>
      <w:r>
        <w:rPr>
          <w:b/>
          <w:bCs/>
        </w:rPr>
        <w:t xml:space="preserve">Dni/godziny udostępnienia:</w:t>
      </w:r>
      <w:r>
        <w:t xml:space="preserve"> </w:t>
      </w:r>
      <w:r>
        <w:t xml:space="preserve">piątki, soboty 18:00–23:30 [Źródło 1]</w:t>
      </w:r>
    </w:p>
    <w:p>
      <w:pPr>
        <w:pStyle w:val="Compact"/>
        <w:numPr>
          <w:ilvl w:val="0"/>
          <w:numId w:val="1001"/>
        </w:numPr>
      </w:pPr>
      <w:r>
        <w:rPr>
          <w:b/>
          <w:bCs/>
        </w:rPr>
        <w:t xml:space="preserve">Miesięczna opłata od „E.” dla Najemcy:</w:t>
      </w:r>
      <w:r>
        <w:t xml:space="preserve"> </w:t>
      </w:r>
      <w:r>
        <w:t xml:space="preserve">3 000 zł netto [Źródło 1]</w:t>
      </w:r>
    </w:p>
    <w:p>
      <w:pPr>
        <w:pStyle w:val="Compact"/>
        <w:numPr>
          <w:ilvl w:val="0"/>
          <w:numId w:val="1001"/>
        </w:numPr>
      </w:pPr>
      <w:r>
        <w:rPr>
          <w:b/>
          <w:bCs/>
        </w:rPr>
        <w:t xml:space="preserve">Data wypowiedzenia umowy najmu przez Wynajmującego:</w:t>
      </w:r>
      <w:r>
        <w:t xml:space="preserve"> </w:t>
      </w:r>
      <w:r>
        <w:t xml:space="preserve">10 lutego 2025 r. [Źródło 1]</w:t>
      </w:r>
    </w:p>
    <w:p>
      <w:pPr>
        <w:pStyle w:val="Compact"/>
        <w:numPr>
          <w:ilvl w:val="0"/>
          <w:numId w:val="1001"/>
        </w:numPr>
      </w:pPr>
      <w:r>
        <w:rPr>
          <w:b/>
          <w:bCs/>
        </w:rPr>
        <w:t xml:space="preserve">Data skutku wypowiedzenia:</w:t>
      </w:r>
      <w:r>
        <w:t xml:space="preserve"> </w:t>
      </w:r>
      <w:r>
        <w:t xml:space="preserve">12 marca 2025 r. [Źródło 1]</w:t>
      </w:r>
    </w:p>
    <w:p>
      <w:pPr>
        <w:pStyle w:val="Compact"/>
        <w:numPr>
          <w:ilvl w:val="0"/>
          <w:numId w:val="1001"/>
        </w:numPr>
      </w:pPr>
      <w:r>
        <w:rPr>
          <w:b/>
          <w:bCs/>
        </w:rPr>
        <w:t xml:space="preserve">Kwota potrąconej kaucji:</w:t>
      </w:r>
      <w:r>
        <w:t xml:space="preserve"> </w:t>
      </w:r>
      <w:r>
        <w:t xml:space="preserve">25 000 zł [Źródło 1]</w:t>
      </w:r>
    </w:p>
    <w:p>
      <w:pPr>
        <w:pStyle w:val="Compact"/>
        <w:numPr>
          <w:ilvl w:val="0"/>
          <w:numId w:val="1001"/>
        </w:numPr>
      </w:pPr>
      <w:r>
        <w:rPr>
          <w:b/>
          <w:bCs/>
        </w:rPr>
        <w:t xml:space="preserve">Dodatkowe odszkodowanie żądane przez Wynajmującego:</w:t>
      </w:r>
      <w:r>
        <w:t xml:space="preserve"> </w:t>
      </w:r>
      <w:r>
        <w:t xml:space="preserve">15 000 zł [Źródło 1]</w:t>
      </w:r>
    </w:p>
    <w:p>
      <w:pPr>
        <w:pStyle w:val="Compact"/>
        <w:numPr>
          <w:ilvl w:val="0"/>
          <w:numId w:val="1001"/>
        </w:numPr>
      </w:pPr>
      <w:r>
        <w:rPr>
          <w:b/>
          <w:bCs/>
        </w:rPr>
        <w:t xml:space="preserve">Rodzaj faktur wystawionych przez Najemcę Podnajemcy:</w:t>
      </w:r>
      <w:r>
        <w:t xml:space="preserve"> </w:t>
      </w:r>
      <w:r>
        <w:t xml:space="preserve">FV/████/01 i FV/████/01 [Źródło 2]</w:t>
      </w:r>
    </w:p>
    <w:bookmarkEnd w:id="11"/>
    <w:bookmarkStart w:id="12" w:name="żądania-i-twierdzenia-stron"/>
    <w:p>
      <w:pPr>
        <w:pStyle w:val="Heading2"/>
      </w:pPr>
      <w:r>
        <w:t xml:space="preserve">Żądania i twierdzenia stron</w:t>
      </w:r>
    </w:p>
    <w:p>
      <w:pPr>
        <w:pStyle w:val="FirstParagraph"/>
      </w:pPr>
      <w:r>
        <w:rPr>
          <w:b/>
          <w:bCs/>
        </w:rPr>
        <w:t xml:space="preserve">Wynajmujący „O. N.” żąda i twierdzi, że:</w:t>
      </w:r>
      <w:r>
        <w:t xml:space="preserve"> </w:t>
      </w:r>
      <w:r>
        <w:t xml:space="preserve">* Działanie Najemcy (udostępnienie części lokalu „E.” sp.k. bez zgody) stanowi naruszenie §9 pkt 3 umowy najmu [Źródło 1].</w:t>
      </w:r>
      <w:r>
        <w:t xml:space="preserve"> </w:t>
      </w:r>
      <w:r>
        <w:t xml:space="preserve">* Wypowiedzenie umowy najmu z 10 lutego 2025 r. jest skuteczne [Źródło 1].</w:t>
      </w:r>
      <w:r>
        <w:t xml:space="preserve"> </w:t>
      </w:r>
      <w:r>
        <w:t xml:space="preserve">* Potrącenie kaucji w kwocie 25 000 zł jest zasadne [Źródło 1].</w:t>
      </w:r>
      <w:r>
        <w:t xml:space="preserve"> </w:t>
      </w:r>
      <w:r>
        <w:t xml:space="preserve">* Należy mu się dodatkowe odszkodowanie w kwocie 15 000 zł tytułem utraconych korzyści i kosztów [Źródło 1].</w:t>
      </w:r>
    </w:p>
    <w:p>
      <w:pPr>
        <w:pStyle w:val="BodyText"/>
      </w:pPr>
      <w:r>
        <w:rPr>
          <w:b/>
          <w:bCs/>
        </w:rPr>
        <w:t xml:space="preserve">Najemca Pani M. K. żąda i twierdzi, że:</w:t>
      </w:r>
      <w:r>
        <w:t xml:space="preserve"> </w:t>
      </w:r>
      <w:r>
        <w:t xml:space="preserve">* Jej umowa z „E.” sp.k. była „współpracą handlową”, a nie podnajmem czy innym „oddaniem lokalu do używania osobie trzeciej” [Źródło 1].</w:t>
      </w:r>
      <w:r>
        <w:t xml:space="preserve"> </w:t>
      </w:r>
      <w:r>
        <w:t xml:space="preserve">* Wypowiedzenie umowy najmu przez Wynajmującego jest nielegalne i niezasadne [Źródło 1].</w:t>
      </w:r>
      <w:r>
        <w:t xml:space="preserve"> </w:t>
      </w:r>
      <w:r>
        <w:t xml:space="preserve">* Wynajmujący nie udowodnił poniesionych szkód, które uzasadniałyby zatrzymanie kaucji i żądanie dodatkowego odszkodowania [Źródło 1].</w:t>
      </w:r>
      <w:r>
        <w:t xml:space="preserve"> </w:t>
      </w:r>
      <w:r>
        <w:t xml:space="preserve">* Domaga się utrzymania najmu lub, w przypadku niemożności, zwrotu kaucji i odszkodowania za bezzasadne wypowiedzenie [Źródło 1].</w:t>
      </w:r>
      <w:r>
        <w:t xml:space="preserve"> </w:t>
      </w:r>
      <w:r>
        <w:t xml:space="preserve">* Może przedstawić wpływy z faktur FV/████/01 i FV/████/01 jako dowód swoich przychodów [Źródło 2].</w:t>
      </w:r>
    </w:p>
    <w:p>
      <w:pPr>
        <w:pStyle w:val="BodyText"/>
      </w:pPr>
      <w:r>
        <w:rPr>
          <w:b/>
          <w:bCs/>
        </w:rPr>
        <w:t xml:space="preserve">Podnajemca „E.” sp.k. żąda i twierdzi, że:</w:t>
      </w:r>
      <w:r>
        <w:t xml:space="preserve"> </w:t>
      </w:r>
      <w:r>
        <w:t xml:space="preserve">* Domaga się od Wynajmującego umożliwienia dalszego korzystania z lokalu [Źródło 1].</w:t>
      </w:r>
      <w:r>
        <w:t xml:space="preserve"> </w:t>
      </w:r>
      <w:r>
        <w:t xml:space="preserve">* Grozi Najemcy roszczeniami w razie wypowiedzenia umowy najmu [Źródło 1].</w:t>
      </w:r>
    </w:p>
    <w:bookmarkEnd w:id="12"/>
    <w:bookmarkStart w:id="18" w:name="ocena-prawna"/>
    <w:p>
      <w:pPr>
        <w:pStyle w:val="Heading2"/>
      </w:pPr>
      <w:r>
        <w:t xml:space="preserve">Ocena prawna</w:t>
      </w:r>
    </w:p>
    <w:bookmarkStart w:id="13" w:name="X26201fea741d176a14b8b3b0f1f3a4db8f0605d"/>
    <w:p>
      <w:pPr>
        <w:pStyle w:val="Heading3"/>
      </w:pPr>
      <w:r>
        <w:t xml:space="preserve">1. Kwalifikacja prawna działań Najemcy i ważność §9 pkt 3 umowy najmu</w:t>
      </w:r>
    </w:p>
    <w:p>
      <w:pPr>
        <w:numPr>
          <w:ilvl w:val="0"/>
          <w:numId w:val="1002"/>
        </w:numPr>
      </w:pPr>
      <w:r>
        <w:rPr>
          <w:b/>
          <w:bCs/>
        </w:rPr>
        <w:t xml:space="preserve">Kwalifikacja prawna działań Najemcy:</w:t>
      </w:r>
      <w:r>
        <w:t xml:space="preserve"> </w:t>
      </w:r>
      <w:r>
        <w:t xml:space="preserve">Postanowienie §9 pkt 3 umowy najmu zabrania Najemcy oddawania lokalu (lub jego części) do używania osobie trzeciej, w tym podnajmu, użyczenia, dzierżawy, bez uprzedniej pisemnej zgody Wynajmującego [Źródło 1]. „Umowa współpracy eventowej” zawarta z „E.” sp.k. zakładała udostępnianie części lokalu (ok. 20 m2 + zaplecze kuchenne) w wybrane dni tygodnia (piątki, soboty 18:00–23:30) za miesięczną opłatą 3 000 zł netto [Źródło 1]. Mimo nazwania tego „współpracą eventową”, faktyczne przekazanie części lokalu w celu prowadzenia działalności przez osobę trzecią, nawet na określone godziny i dni, z elementem odpłatności, mieści się w szerokim pojęciu „oddania lokalu (lub jego części) do używania osobie trzeciej”. Termin „oddanie do używania” jest szerszy niż „podnajem” i obejmuje wszelkie formy, w których Najemca pozwala innemu podmiotowi korzystać z lokalu lub jego części, co miało miejsce w tym przypadku. Działanie „E.” sp.k. polegające na organizowaniu eventów wskazuje również na „prowadzenie zakładu przez osobę trzecią” w rozumieniu potocznym.</w:t>
      </w:r>
    </w:p>
    <w:p>
      <w:pPr>
        <w:numPr>
          <w:ilvl w:val="0"/>
          <w:numId w:val="1002"/>
        </w:numPr>
      </w:pPr>
      <w:r>
        <w:rPr>
          <w:b/>
          <w:bCs/>
        </w:rPr>
        <w:t xml:space="preserve">Ważność i skuteczność §9 pkt 3 umowy najmu:</w:t>
      </w:r>
      <w:r>
        <w:t xml:space="preserve"> </w:t>
      </w:r>
      <w:r>
        <w:t xml:space="preserve">Postanowienia umowne, które ograniczają lub wyłączają możliwość podnajmu lub oddania lokalu do używania osobie trzeciej bez zgody wynajmującego, są powszechnie stosowane i co do zasady ważne w umowach najmu lokali użytkowych. Brak tych konkretnych przepisów Kodeksu cywilnego w aktualnym stanie prawnym uniemożliwia bezpośrednie odwołanie się, jednakże generalna zasada swobody umów (art. 353[1] k.c. - nie mam w bloku, ale to ogólna zasada) pozwala stronom na kształtowanie treści stosunku prawnego, o ile nie sprzeciwia się to naturze stosunku, ustawie ani zasadom współżycia społecznego. Klauzula ta jest standardowa w obrocie profesjonalnym i ma na celu ochronę interesów wynajmującego, który chce kontrolować, kto i w jakim celu korzysta z jego nieruchomości. Zatem postanowienie §9 pkt 3 umowy najmu jest ważne i skuteczne.</w:t>
      </w:r>
    </w:p>
    <w:bookmarkEnd w:id="13"/>
    <w:bookmarkStart w:id="14" w:name="Xf5716cf3d6d87caf55e257c0a0dce2bf8b955d4"/>
    <w:p>
      <w:pPr>
        <w:pStyle w:val="Heading3"/>
      </w:pPr>
      <w:r>
        <w:t xml:space="preserve">2. Skuteczność wypowiedzenia z dnia 10.02.2025 r.</w:t>
      </w:r>
    </w:p>
    <w:p>
      <w:pPr>
        <w:numPr>
          <w:ilvl w:val="0"/>
          <w:numId w:val="1003"/>
        </w:numPr>
      </w:pPr>
      <w:r>
        <w:rPr>
          <w:b/>
          <w:bCs/>
        </w:rPr>
        <w:t xml:space="preserve">(a) Spełnienie przesłanek wypowiedzenia:</w:t>
      </w:r>
      <w:r>
        <w:t xml:space="preserve"> </w:t>
      </w:r>
      <w:r>
        <w:t xml:space="preserve">Wypowiedzenie zostało dokonane na podstawie naruszenia §9 pkt 3 umowy [Źródło 1]. Jak wskazano powyżej, działanie Najemcy w postaci udostępnienia części lokalu „E.” sp.k. bez pisemnej zgody Wynajmującego, z dużą dozą prawdopodobieństwa zostanie uznane za naruszenie tego postanowienia. Zatem przesłanka naruszenia umowy została spełniona.</w:t>
      </w:r>
    </w:p>
    <w:p>
      <w:pPr>
        <w:numPr>
          <w:ilvl w:val="0"/>
          <w:numId w:val="1003"/>
        </w:numPr>
      </w:pPr>
      <w:r>
        <w:rPr>
          <w:b/>
          <w:bCs/>
        </w:rPr>
        <w:t xml:space="preserve">(b) Zachowanie wymaganego trybu (np. forma pisemna):</w:t>
      </w:r>
      <w:r>
        <w:t xml:space="preserve"> </w:t>
      </w:r>
      <w:r>
        <w:t xml:space="preserve">Kazus wskazuje, że Wynajmujący „wypowiedział umowę najmu” [Źródło 1]. Zakładając, że umowa najmu została zawarta w formie pisemnej (co jest typowe dla umów na 5 lat), wypowiedzenie również powinno nastąpić w formie pisemnej. Informacja o dacie wypowiedzenia (10 lutego 2025 r.) i dacie skutku (12 marca 2025 r.) sugeruje, że wymóg formy został zachowany, a także zastosowano umowny 30-dniowy okres wypowiedzenia [Źródło 1].</w:t>
      </w:r>
    </w:p>
    <w:p>
      <w:pPr>
        <w:numPr>
          <w:ilvl w:val="0"/>
          <w:numId w:val="1003"/>
        </w:numPr>
      </w:pPr>
      <w:r>
        <w:rPr>
          <w:b/>
          <w:bCs/>
        </w:rPr>
        <w:t xml:space="preserve">(c) Okoliczności wyłączające możliwość wypowiedzenia (np. wcześniejsza zgoda domniemana, tolerowanie praktyki, estoppel):</w:t>
      </w:r>
      <w:r>
        <w:t xml:space="preserve"> </w:t>
      </w:r>
      <w:r>
        <w:t xml:space="preserve">Wynajmujący „po otrzymaniu skarg od sąsiadów i bezpośrednio od Podnajemcy, uznał działanie Najemcy za naruszenie §9 pkt 3 umowy” i wystosował „wezwania do zaprzestania działalności i przedstawienia dokumentów” [Źródło 1]. To wyraźnie wskazuje na brak zgody Wynajmującego i brak tolerowania praktyki. Argument o wcześniejszej zgodzie domniemanej lub estoppel (zakazowi sprzecznego postępowania) nie znajduje potwierdzenia w przedstawionych okolicznościach faktycznych. Wręcz przeciwnie, Wynajmujący aktywnie reagował na naruszenie.</w:t>
      </w:r>
    </w:p>
    <w:p>
      <w:pPr>
        <w:numPr>
          <w:ilvl w:val="0"/>
          <w:numId w:val="1003"/>
        </w:numPr>
      </w:pPr>
      <w:r>
        <w:rPr>
          <w:b/>
          <w:bCs/>
        </w:rPr>
        <w:t xml:space="preserve">(d) Skutki przewidziane w umowie (brak prawa do zwrotu kaucji) – czy takie postanowienie jest dopuszczalne i wykonalne?</w:t>
      </w:r>
      <w:r>
        <w:t xml:space="preserve"> </w:t>
      </w:r>
      <w:r>
        <w:t xml:space="preserve">Postanowienie, że w przypadku naruszenia §9 pkt 3 Wynajmujący ma prawo do wypowiedzenia umowy „bez zwrotu kaucji” [Źródło 1] jest problematyczne. Kaucja ma charakter zabezpieczający i służy pokryciu roszczeń wynajmującego wynikających z umowy najmu (np. zaległości czynszowe, naprawy szkód, koszty sprzątania). Nie może być traktowana jako kara umowna za samo wypowiedzenie umowy bez związku z faktycznie poniesioną szkodą. Jeżeli Wynajmujący nie poniósł szkody w wysokości potrąconej kaucji, zatrzymanie całej kwoty może zostać zakwestionowane jako bezpodstawne wzbogacenie. Wynajmujący ma obowiązek udowodnić poniesioną szkodę, na poczet której kaucja jest zaliczana. Pozostała kwota kaucji powinna zostać zwrócona Najemcy. Orzecznictwo wskazuje na konieczczne udowodnienie faktów, z których wywodzi się skutki prawne (art. 6 k.c., [Źródło 1, 2, 10, 11, 15]), co dotyczy również Wynajmującego w zakresie zatrzymania kaucji.</w:t>
      </w:r>
    </w:p>
    <w:p>
      <w:pPr>
        <w:numPr>
          <w:ilvl w:val="0"/>
          <w:numId w:val="1000"/>
        </w:numPr>
      </w:pPr>
      <w:r>
        <w:rPr>
          <w:b/>
          <w:bCs/>
        </w:rPr>
        <w:t xml:space="preserve">Wniosek:</w:t>
      </w:r>
      <w:r>
        <w:t xml:space="preserve"> </w:t>
      </w:r>
      <w:r>
        <w:t xml:space="preserve">Wypowiedzenie umowy najmu jest prawdopodobnie skuteczne ze względu na naruszenie klauzuli umownej dotyczącej udostępniania lokalu osobie trzeciej. Natomiast postanowienie o całkowitym zatrzymaniu kaucji jest w swojej bezwarunkowej formie niedopuszczalne, jeśli Wynajmujący nie wykaże szkody odpowiadającej jej wysokości.</w:t>
      </w:r>
    </w:p>
    <w:bookmarkEnd w:id="14"/>
    <w:bookmarkStart w:id="15" w:name="X42d0914ab690cea076bf7d7852535bdd01a630a"/>
    <w:p>
      <w:pPr>
        <w:pStyle w:val="Heading3"/>
      </w:pPr>
      <w:r>
        <w:t xml:space="preserve">3. Ocena roszczeń kwotowych Wynajmującego, Najemcy oraz analiza terminów przedawnienia</w:t>
      </w:r>
    </w:p>
    <w:p>
      <w:pPr>
        <w:pStyle w:val="Compact"/>
        <w:numPr>
          <w:ilvl w:val="0"/>
          <w:numId w:val="1004"/>
        </w:numPr>
      </w:pPr>
      <w:r>
        <w:rPr>
          <w:b/>
          <w:bCs/>
        </w:rPr>
        <w:t xml:space="preserve">(a) Roszczenia Wynajmującego:</w:t>
      </w:r>
    </w:p>
    <w:p>
      <w:pPr>
        <w:pStyle w:val="Compact"/>
        <w:numPr>
          <w:ilvl w:val="1"/>
          <w:numId w:val="1005"/>
        </w:numPr>
      </w:pPr>
      <w:r>
        <w:rPr>
          <w:b/>
          <w:bCs/>
        </w:rPr>
        <w:t xml:space="preserve">Potrącenie kaucji (25 000 zł):</w:t>
      </w:r>
      <w:r>
        <w:t xml:space="preserve"> </w:t>
      </w:r>
      <w:r>
        <w:t xml:space="preserve">Wynajmujący ma prawo zatrzymać kaucję w celu pokrycia rzeczywistych szkód wynikających z umowy (np. zniszczenia lokalu, zaległy czynsz, koszty odzyskania lokalu). Musi jednak udowodnić wysokość tych szkód. Samo powołanie się na fakt naruszenia umowy nie uprawnia do automatycznego zatrzymania całej kaucji. W materiale brak dowodów Wynajmującego na wykazanie szkód (poza twierdzeniem o</w:t>
      </w:r>
      <w:r>
        <w:t xml:space="preserve"> </w:t>
      </w:r>
      <w:r>
        <w:t xml:space="preserve">“utraconych korzyściach i kosztach”</w:t>
      </w:r>
      <w:r>
        <w:t xml:space="preserve"> </w:t>
      </w:r>
      <w:r>
        <w:t xml:space="preserve">[Źródło 1]).</w:t>
      </w:r>
    </w:p>
    <w:p>
      <w:pPr>
        <w:pStyle w:val="Compact"/>
        <w:numPr>
          <w:ilvl w:val="1"/>
          <w:numId w:val="1005"/>
        </w:numPr>
      </w:pPr>
      <w:r>
        <w:rPr>
          <w:b/>
          <w:bCs/>
        </w:rPr>
        <w:t xml:space="preserve">Dodatkowe odszkodowanie (15 000 zł):</w:t>
      </w:r>
      <w:r>
        <w:t xml:space="preserve"> </w:t>
      </w:r>
      <w:r>
        <w:t xml:space="preserve">Wynajmujący żąda 15 000 zł tytułem utraconych korzyści i kosztów [Źródło 1]. Również w tym przypadku Wynajmujący będzie musiał szczegółowo udowodnić te kwoty, np. poprzez wykazanie konkretnych propozycji najmu, które musiał odrzucić, lub poniesionych kosztów związanych z naruszeniem umowy przez Najemcę. Bez konkretnych dowodów roszczenie to jest słabe.</w:t>
      </w:r>
    </w:p>
    <w:p>
      <w:pPr>
        <w:pStyle w:val="Compact"/>
        <w:numPr>
          <w:ilvl w:val="0"/>
          <w:numId w:val="1004"/>
        </w:numPr>
      </w:pPr>
      <w:r>
        <w:rPr>
          <w:b/>
          <w:bCs/>
        </w:rPr>
        <w:t xml:space="preserve">(b) Kwotowe stanowiska obronne Najemcy i roszczenia Najemcy:</w:t>
      </w:r>
    </w:p>
    <w:p>
      <w:pPr>
        <w:pStyle w:val="Compact"/>
        <w:numPr>
          <w:ilvl w:val="1"/>
          <w:numId w:val="1006"/>
        </w:numPr>
      </w:pPr>
      <w:r>
        <w:rPr>
          <w:b/>
          <w:bCs/>
        </w:rPr>
        <w:t xml:space="preserve">Żądanie zwrotu kaucji (25 000 zł):</w:t>
      </w:r>
      <w:r>
        <w:t xml:space="preserve"> </w:t>
      </w:r>
      <w:r>
        <w:t xml:space="preserve">Najemca może skutecznie żądać zwrotu kaucji, jeśli Wynajmujący nie udowodni szkód w wysokości 25 000 zł. Roszczenie o zwrot kaucji będzie obejmowało różnicę między kwotą kaucji a faktycznie udowodnionymi i zasadnymi szkodami.</w:t>
      </w:r>
    </w:p>
    <w:p>
      <w:pPr>
        <w:pStyle w:val="Compact"/>
        <w:numPr>
          <w:ilvl w:val="1"/>
          <w:numId w:val="1006"/>
        </w:numPr>
      </w:pPr>
      <w:r>
        <w:rPr>
          <w:b/>
          <w:bCs/>
        </w:rPr>
        <w:t xml:space="preserve">Odszkodowanie za bezzasadne wypowiedzenie (utracone korzyści):</w:t>
      </w:r>
      <w:r>
        <w:t xml:space="preserve"> </w:t>
      </w:r>
      <w:r>
        <w:t xml:space="preserve">Jeśli Najemca skutecznie wykaże bezskuteczność wypowiedzenia, może dochodzić odszkodowania za utracone korzyści. Obejmuje to zarówno zyski z prowadzenia kawiarni, jak i utracone przychody z „Umowy współpracy eventowej” z „E.” sp.k.</w:t>
      </w:r>
    </w:p>
    <w:p>
      <w:pPr>
        <w:pStyle w:val="Compact"/>
        <w:numPr>
          <w:ilvl w:val="2"/>
          <w:numId w:val="1007"/>
        </w:numPr>
      </w:pPr>
      <w:r>
        <w:t xml:space="preserve">Przychody z „Umowy współpracy eventowej”: 3 000 zł netto miesięcznie [Źródło 1]. Umowa najmu była zawarta na 5 lat, od 1 marca 2023 r., zatem miała trwać do 28 lutego 2028 r. Skutek wypowiedzenia nastąpił 12 marca 2025 r. [Źródło 1]. Okres potencjalnych utraconych korzyści wynosi 35 miesięcy (od marca 2025 do lutego 2028). Całkowita kwota utraconych korzyści z tego tytułu to 35 miesięcy * 3 000 zł/miesiąc = 105 000 zł netto.</w:t>
      </w:r>
    </w:p>
    <w:p>
      <w:pPr>
        <w:pStyle w:val="Compact"/>
        <w:numPr>
          <w:ilvl w:val="2"/>
          <w:numId w:val="1007"/>
        </w:numPr>
      </w:pPr>
      <w:r>
        <w:t xml:space="preserve">Do tych kwot mogą dojść odsetki ustawowe za opóźnienie, naliczane od daty wymagalności każdego miesięcznego świadczenia (art. 481 § 1 i 2 k.c. – brak w bloku, ale to ogólna zasada).</w:t>
      </w:r>
    </w:p>
    <w:p>
      <w:pPr>
        <w:pStyle w:val="Compact"/>
        <w:numPr>
          <w:ilvl w:val="0"/>
          <w:numId w:val="1004"/>
        </w:numPr>
      </w:pPr>
      <w:r>
        <w:rPr>
          <w:b/>
          <w:bCs/>
        </w:rPr>
        <w:t xml:space="preserve">(c) Terminy przedawnienia:</w:t>
      </w:r>
      <w:r>
        <w:t xml:space="preserve"> </w:t>
      </w:r>
      <w:r>
        <w:t xml:space="preserve">Brak odpowiednich artykułów Kodeksu cywilnego w bloku „Obecny stan prawny” uniemożliwia precyzyjne wskazanie artykułów. Przyjmując jednak ogólne zasady Kodeksu cywilnego, dla roszczeń wynikających z prowadzenia działalności gospodarczej (umowy między przedsiębiorcami) stosuje się zazwyczaj trzyletni termin przedawnienia.</w:t>
      </w:r>
    </w:p>
    <w:p>
      <w:pPr>
        <w:pStyle w:val="Compact"/>
        <w:numPr>
          <w:ilvl w:val="1"/>
          <w:numId w:val="1008"/>
        </w:numPr>
      </w:pPr>
      <w:r>
        <w:rPr>
          <w:b/>
          <w:bCs/>
        </w:rPr>
        <w:t xml:space="preserve">Roszczenia Wynajmującego (czynsz, odszkodowanie, rozliczenie kaucji):</w:t>
      </w:r>
      <w:r>
        <w:t xml:space="preserve"> </w:t>
      </w:r>
      <w:r>
        <w:t xml:space="preserve">Bieg terminu przedawnienia rozpoczyna się od dnia wymagalności każdego roszczenia. Roszczenia o odszkodowanie stają się wymagalne z chwilą powstania szkody lub wezwania do zapłaty.</w:t>
      </w:r>
    </w:p>
    <w:p>
      <w:pPr>
        <w:pStyle w:val="Compact"/>
        <w:numPr>
          <w:ilvl w:val="1"/>
          <w:numId w:val="1008"/>
        </w:numPr>
      </w:pPr>
      <w:r>
        <w:rPr>
          <w:b/>
          <w:bCs/>
        </w:rPr>
        <w:t xml:space="preserve">Roszczenia Najemcy (zwrot kaucji, odszkodowanie):</w:t>
      </w:r>
      <w:r>
        <w:t xml:space="preserve"> </w:t>
      </w:r>
      <w:r>
        <w:t xml:space="preserve">Roszczenie o zwrot kaucji staje się wymagalne po zakończeniu najmu i rozliczeniu lokalu (zazwyczaj 30 dni od opuszczenia lokalu, zgodnie z analogią do przepisów o ochronie praw lokatorów lub postanowieniami umownymi, których brak w kazusie). W tym przypadku, jeśli skutek wypowiedzenia nastąpił 12 marca 2025 r., roszczenie o zwrot kaucji będzie wymagalne około 12 kwietnia 2025 r. Roszczenia odszkodowawcze będą wymagalne od dnia powstania szkody lub wezwania do zapłaty.</w:t>
      </w:r>
      <w:r>
        <w:t xml:space="preserve"> </w:t>
      </w:r>
      <w:r>
        <w:t xml:space="preserve">Wskazać należy, że art. 123 § 1 pkt 1 k.c. (nie mam w bloku) generalnie stanowi, że bieg terminu przedawnienia przerywa się m.in. przez wniesienie pozwu, co jest istotne przy planowaniu działań procesowych.</w:t>
      </w:r>
    </w:p>
    <w:bookmarkEnd w:id="15"/>
    <w:bookmarkStart w:id="16" w:name="kwestie-dowodowe"/>
    <w:p>
      <w:pPr>
        <w:pStyle w:val="Heading3"/>
      </w:pPr>
      <w:r>
        <w:t xml:space="preserve">4. Kwestie dowodowe</w:t>
      </w:r>
    </w:p>
    <w:p>
      <w:pPr>
        <w:numPr>
          <w:ilvl w:val="0"/>
          <w:numId w:val="1009"/>
        </w:numPr>
      </w:pPr>
      <w:r>
        <w:rPr>
          <w:b/>
          <w:bCs/>
        </w:rPr>
        <w:t xml:space="preserve">Dowody, które powinna zgromadzić kancelaria w imieniu Najemcy:</w:t>
      </w:r>
    </w:p>
    <w:p>
      <w:pPr>
        <w:pStyle w:val="Compact"/>
        <w:numPr>
          <w:ilvl w:val="1"/>
          <w:numId w:val="1010"/>
        </w:numPr>
      </w:pPr>
      <w:r>
        <w:rPr>
          <w:b/>
          <w:bCs/>
        </w:rPr>
        <w:t xml:space="preserve">Kopie faktur wystawionych przez Najemcę Podnajemcy (FV/████/01 i FV/████/01):</w:t>
      </w:r>
      <w:r>
        <w:t xml:space="preserve"> </w:t>
      </w:r>
      <w:r>
        <w:t xml:space="preserve">Na okoliczność uzyskiwanych przychodów z „Umowy współpracy eventowej”, co jest kluczowe dla wyliczenia ewentualnych utraconych korzyści [Źródło 2].</w:t>
      </w:r>
    </w:p>
    <w:p>
      <w:pPr>
        <w:pStyle w:val="Compact"/>
        <w:numPr>
          <w:ilvl w:val="1"/>
          <w:numId w:val="1010"/>
        </w:numPr>
      </w:pPr>
      <w:r>
        <w:rPr>
          <w:b/>
          <w:bCs/>
        </w:rPr>
        <w:t xml:space="preserve">Treść „Umowy współpracy eventowej”:</w:t>
      </w:r>
      <w:r>
        <w:t xml:space="preserve"> </w:t>
      </w:r>
      <w:r>
        <w:t xml:space="preserve">Dokładna analiza postanowień umowy, aby wykazać, że nie stanowiła ona typowego podnajmu, lecz usługę czy inną formę współpracy, w której Najemca zachowywała kontrolę nad lokalem.</w:t>
      </w:r>
    </w:p>
    <w:p>
      <w:pPr>
        <w:pStyle w:val="Compact"/>
        <w:numPr>
          <w:ilvl w:val="1"/>
          <w:numId w:val="1010"/>
        </w:numPr>
      </w:pPr>
      <w:r>
        <w:rPr>
          <w:b/>
          <w:bCs/>
        </w:rPr>
        <w:t xml:space="preserve">Korespondencja e-mail/inna z Podnajemcą:</w:t>
      </w:r>
      <w:r>
        <w:t xml:space="preserve"> </w:t>
      </w:r>
      <w:r>
        <w:t xml:space="preserve">Na okoliczność charakteru współpracy, ustaleń, odpowiedzialności za lokal, grafików itp., aby wykazać, że Najemca nadal sprawowała pieczę nad lokalem.</w:t>
      </w:r>
    </w:p>
    <w:p>
      <w:pPr>
        <w:pStyle w:val="Compact"/>
        <w:numPr>
          <w:ilvl w:val="1"/>
          <w:numId w:val="1010"/>
        </w:numPr>
      </w:pPr>
      <w:r>
        <w:rPr>
          <w:b/>
          <w:bCs/>
        </w:rPr>
        <w:t xml:space="preserve">Zeznania świadków:</w:t>
      </w:r>
      <w:r>
        <w:t xml:space="preserve"> </w:t>
      </w:r>
      <w:r>
        <w:t xml:space="preserve">Pracownicy Najemcy, pracownicy Podnajemcy, stali klienci kawiarni, osoby odpowiedzialne za lokal po stronie Najemcy – na okoliczność rzeczywistego sposobu korzystania z lokalu, zakresu „oddania do używania”, braku wyłączności posiadania Podnajemcy, a także na okoliczność tego, że Najemca nie utraciła kontroli nad lokalem.</w:t>
      </w:r>
    </w:p>
    <w:p>
      <w:pPr>
        <w:pStyle w:val="Compact"/>
        <w:numPr>
          <w:ilvl w:val="1"/>
          <w:numId w:val="1010"/>
        </w:numPr>
      </w:pPr>
      <w:r>
        <w:rPr>
          <w:b/>
          <w:bCs/>
        </w:rPr>
        <w:t xml:space="preserve">Protokoły sąsiedzkie/oświadczenia sąsiadów:</w:t>
      </w:r>
      <w:r>
        <w:t xml:space="preserve"> </w:t>
      </w:r>
      <w:r>
        <w:t xml:space="preserve">Jeśli skargi sąsiadów były ogólnikowe lub dotyczyły jedynie incydentów, Najemca może przedstawić dowody (np. oświadczenia, protokoły ze spotkań) na okoliczność, że działalność nie była uciążliwa w sposób uzasadniający wypowiedzenie.</w:t>
      </w:r>
    </w:p>
    <w:p>
      <w:pPr>
        <w:pStyle w:val="Compact"/>
        <w:numPr>
          <w:ilvl w:val="1"/>
          <w:numId w:val="1010"/>
        </w:numPr>
      </w:pPr>
      <w:r>
        <w:rPr>
          <w:b/>
          <w:bCs/>
        </w:rPr>
        <w:t xml:space="preserve">Zezwolenia administracyjne:</w:t>
      </w:r>
      <w:r>
        <w:t xml:space="preserve"> </w:t>
      </w:r>
      <w:r>
        <w:t xml:space="preserve">Jeśli „E.” sp.k. posiadała własne zezwolenia na prowadzenie działalności eventowej, to może wskazywać na samodzielny charakter ich działalności w lokalu, ale w ramach „współpracy”.</w:t>
      </w:r>
    </w:p>
    <w:p>
      <w:pPr>
        <w:pStyle w:val="Compact"/>
        <w:numPr>
          <w:ilvl w:val="1"/>
          <w:numId w:val="1010"/>
        </w:numPr>
      </w:pPr>
      <w:r>
        <w:rPr>
          <w:b/>
          <w:bCs/>
        </w:rPr>
        <w:t xml:space="preserve">Rejestry wejść/wyjść:</w:t>
      </w:r>
      <w:r>
        <w:t xml:space="preserve"> </w:t>
      </w:r>
      <w:r>
        <w:t xml:space="preserve">Jeśli takie istnieją, mogą potwierdzić godziny korzystania z lokalu przez „E.” sp.k. i kontrolę Najemcy nad dostępem.</w:t>
      </w:r>
    </w:p>
    <w:p>
      <w:pPr>
        <w:pStyle w:val="Compact"/>
        <w:numPr>
          <w:ilvl w:val="1"/>
          <w:numId w:val="1010"/>
        </w:numPr>
      </w:pPr>
      <w:r>
        <w:rPr>
          <w:b/>
          <w:bCs/>
        </w:rPr>
        <w:t xml:space="preserve">Dokumentacja księgowa kawiarni:</w:t>
      </w:r>
      <w:r>
        <w:t xml:space="preserve"> </w:t>
      </w:r>
      <w:r>
        <w:t xml:space="preserve">Na okoliczność utraconych zysków z podstawowej działalności w przypadku utraty lokalu.</w:t>
      </w:r>
    </w:p>
    <w:p>
      <w:pPr>
        <w:numPr>
          <w:ilvl w:val="0"/>
          <w:numId w:val="1009"/>
        </w:numPr>
      </w:pPr>
      <w:r>
        <w:rPr>
          <w:b/>
          <w:bCs/>
        </w:rPr>
        <w:t xml:space="preserve">Siła dowodowa:</w:t>
      </w:r>
      <w:r>
        <w:t xml:space="preserve"> </w:t>
      </w:r>
      <w:r>
        <w:t xml:space="preserve">Faktury i pisemne umowy mają dużą siłę dowodową. Zeznania świadków, choć ważne, mogą być kwestionowane. Korespondencja elektroniczna jest coraz częściej uznawana za wiarygodny dowód. Na mocy art. 6 k.c., ciężar udowodnienia faktów spoczywa na osobie, która z faktów tych wywodzi skutki prawne. Dotyczy to zarówno Wynajmującego, który musi udowodnić szkodę, jak i Najemcy, która musi udowodnić charakter współpracy. Zgodnie z art. 232 k.p.c. (brak w bloku), strony są obowiązane wskazywać dowody dla stwierdzenia faktów, z których wywodzą skutki prawne.</w:t>
      </w:r>
    </w:p>
    <w:p>
      <w:pPr>
        <w:numPr>
          <w:ilvl w:val="0"/>
          <w:numId w:val="1009"/>
        </w:numPr>
      </w:pPr>
      <w:r>
        <w:rPr>
          <w:b/>
          <w:bCs/>
        </w:rPr>
        <w:t xml:space="preserve">Ryzyka dowodowe dla Najemcy:</w:t>
      </w:r>
    </w:p>
    <w:p>
      <w:pPr>
        <w:pStyle w:val="Compact"/>
        <w:numPr>
          <w:ilvl w:val="1"/>
          <w:numId w:val="1011"/>
        </w:numPr>
      </w:pPr>
      <w:r>
        <w:rPr>
          <w:b/>
          <w:bCs/>
        </w:rPr>
        <w:t xml:space="preserve">Brak pisemnej umowy podnajmu:</w:t>
      </w:r>
      <w:r>
        <w:t xml:space="preserve"> </w:t>
      </w:r>
      <w:r>
        <w:t xml:space="preserve">Choć Najemca twierdzi, że nie był to podnajem, Wynajmujący może argumentować, że faktycznie doszło do „oddania do używania”, niezależnie od nazwy umowy. Sąd będzie oceniał rzeczywistą treść i cel umowy.</w:t>
      </w:r>
    </w:p>
    <w:p>
      <w:pPr>
        <w:pStyle w:val="Compact"/>
        <w:numPr>
          <w:ilvl w:val="1"/>
          <w:numId w:val="1011"/>
        </w:numPr>
      </w:pPr>
      <w:r>
        <w:rPr>
          <w:b/>
          <w:bCs/>
        </w:rPr>
        <w:t xml:space="preserve">Sprzeczność w nazwie umowy:</w:t>
      </w:r>
      <w:r>
        <w:t xml:space="preserve"> </w:t>
      </w:r>
      <w:r>
        <w:t xml:space="preserve">Nazwanie umowy „współpracą eventową” może być postrzegane jako próba obejścia zakazu z umowy najmu.</w:t>
      </w:r>
    </w:p>
    <w:p>
      <w:pPr>
        <w:pStyle w:val="Compact"/>
        <w:numPr>
          <w:ilvl w:val="1"/>
          <w:numId w:val="1011"/>
        </w:numPr>
      </w:pPr>
      <w:r>
        <w:t xml:space="preserve">Subiektywna ocena sądu: Ostateczna kwalifikacja prawna zależeć będzie od oceny całokształtu okoliczności przez sąd.</w:t>
      </w:r>
    </w:p>
    <w:p>
      <w:pPr>
        <w:pStyle w:val="Compact"/>
        <w:numPr>
          <w:ilvl w:val="1"/>
          <w:numId w:val="1011"/>
        </w:numPr>
      </w:pPr>
      <w:r>
        <w:t xml:space="preserve">Skargi sąsiadów: Potwierdzają, że działalność „E.” sp.k. była zauważalna i w pewnym stopniu uciążliwa, co może wspierać argumentację Wynajmującego.</w:t>
      </w:r>
    </w:p>
    <w:p>
      <w:pPr>
        <w:numPr>
          <w:ilvl w:val="0"/>
          <w:numId w:val="1009"/>
        </w:numPr>
      </w:pPr>
      <w:r>
        <w:rPr>
          <w:b/>
          <w:bCs/>
        </w:rPr>
        <w:t xml:space="preserve">Jak zabezpieczyć dowody procesowo:</w:t>
      </w:r>
    </w:p>
    <w:p>
      <w:pPr>
        <w:pStyle w:val="Compact"/>
        <w:numPr>
          <w:ilvl w:val="1"/>
          <w:numId w:val="1012"/>
        </w:numPr>
      </w:pPr>
      <w:r>
        <w:rPr>
          <w:b/>
          <w:bCs/>
        </w:rPr>
        <w:t xml:space="preserve">Wnioski o dowody z dokumentów:</w:t>
      </w:r>
      <w:r>
        <w:t xml:space="preserve"> </w:t>
      </w:r>
      <w:r>
        <w:t xml:space="preserve">Zobowiązanie Wynajmującego do przedstawienia wszelkich dokumentów potwierdzających szkodę (np. wyceny, kosztorysy, dowody na utracone korzyści). Można również wnioskować o wezwanie na rozprawę świadków i biegłych (art. 187 § 2 pkt 1 k.p.c.).</w:t>
      </w:r>
    </w:p>
    <w:p>
      <w:pPr>
        <w:pStyle w:val="Compact"/>
        <w:numPr>
          <w:ilvl w:val="1"/>
          <w:numId w:val="1012"/>
        </w:numPr>
      </w:pPr>
      <w:r>
        <w:rPr>
          <w:b/>
          <w:bCs/>
        </w:rPr>
        <w:t xml:space="preserve">Zabezpieczenie dowodów:</w:t>
      </w:r>
      <w:r>
        <w:t xml:space="preserve"> </w:t>
      </w:r>
      <w:r>
        <w:t xml:space="preserve">W przypadku obawy o zniszczenie lub utratę dowodów (np. nagrań), można złożyć wniosek o zabezpieczenie dowodów (art. 310-315 k.p.c. – brak w bloku).</w:t>
      </w:r>
    </w:p>
    <w:p>
      <w:pPr>
        <w:pStyle w:val="Compact"/>
        <w:numPr>
          <w:ilvl w:val="1"/>
          <w:numId w:val="1012"/>
        </w:numPr>
      </w:pPr>
      <w:r>
        <w:rPr>
          <w:b/>
          <w:bCs/>
        </w:rPr>
        <w:t xml:space="preserve">Wniosek o przewodowe zabezpieczenie roszczenia:</w:t>
      </w:r>
      <w:r>
        <w:t xml:space="preserve"> </w:t>
      </w:r>
      <w:r>
        <w:t xml:space="preserve">Możliwe jest złożenie wniosku o zabezpieczenie powództwa, np. poprzez wstrzymanie wykonania wypowiedzenia umowy najmu lub zakazanie Wynajmującemu podejmowania działań uniemożliwiających Najemcy korzystanie z lokalu. Wymaga to uprawdopodobnienia roszczenia i interesu prawnego w udzieleniu zabezpieczenia (art. 736 k.p.c.).</w:t>
      </w:r>
    </w:p>
    <w:bookmarkEnd w:id="16"/>
    <w:bookmarkStart w:id="17" w:name="Xa93f28e677b6deaa87bde87d851c3288dba4bc8"/>
    <w:p>
      <w:pPr>
        <w:pStyle w:val="Heading3"/>
      </w:pPr>
      <w:r>
        <w:t xml:space="preserve">5. Ryzyka procesowe i pozaprocesowe oraz strategia działania</w:t>
      </w:r>
    </w:p>
    <w:p>
      <w:pPr>
        <w:numPr>
          <w:ilvl w:val="0"/>
          <w:numId w:val="1013"/>
        </w:numPr>
      </w:pPr>
      <w:r>
        <w:rPr>
          <w:b/>
          <w:bCs/>
        </w:rPr>
        <w:t xml:space="preserve">Ocena ryzyk:</w:t>
      </w:r>
    </w:p>
    <w:p>
      <w:pPr>
        <w:pStyle w:val="Compact"/>
        <w:numPr>
          <w:ilvl w:val="1"/>
          <w:numId w:val="1014"/>
        </w:numPr>
      </w:pPr>
      <w:r>
        <w:rPr>
          <w:b/>
          <w:bCs/>
        </w:rPr>
        <w:t xml:space="preserve">Ryzyko kosztów sądowych:</w:t>
      </w:r>
      <w:r>
        <w:t xml:space="preserve"> </w:t>
      </w:r>
      <w:r>
        <w:t xml:space="preserve">Proces sądowy jest kosztowny. W przypadku przegranej, Najemca będzie musiał ponieść nie tylko własne koszty, ale także zwrócić koszty zastępstwa procesowego Wynajmującemu.</w:t>
      </w:r>
    </w:p>
    <w:p>
      <w:pPr>
        <w:pStyle w:val="Compact"/>
        <w:numPr>
          <w:ilvl w:val="1"/>
          <w:numId w:val="1014"/>
        </w:numPr>
      </w:pPr>
      <w:r>
        <w:rPr>
          <w:b/>
          <w:bCs/>
        </w:rPr>
        <w:t xml:space="preserve">Dług negocjacyjny:</w:t>
      </w:r>
      <w:r>
        <w:t xml:space="preserve"> </w:t>
      </w:r>
      <w:r>
        <w:t xml:space="preserve">Ostra postawa Wynajmującego może utrudniać negocjacje, prowadząc do długotrwałego i kosztownego sporu.</w:t>
      </w:r>
    </w:p>
    <w:p>
      <w:pPr>
        <w:pStyle w:val="Compact"/>
        <w:numPr>
          <w:ilvl w:val="1"/>
          <w:numId w:val="1014"/>
        </w:numPr>
      </w:pPr>
      <w:r>
        <w:rPr>
          <w:b/>
          <w:bCs/>
        </w:rPr>
        <w:t xml:space="preserve">Ryzyko zajęcia kaucji przez Wynajmującego:</w:t>
      </w:r>
      <w:r>
        <w:t xml:space="preserve"> </w:t>
      </w:r>
      <w:r>
        <w:t xml:space="preserve">Kaucja została już potrącona [Źródło 1]. Odzyskanie jej w drodze sądowej może być czasochłonne.</w:t>
      </w:r>
    </w:p>
    <w:p>
      <w:pPr>
        <w:pStyle w:val="Compact"/>
        <w:numPr>
          <w:ilvl w:val="1"/>
          <w:numId w:val="1014"/>
        </w:numPr>
      </w:pPr>
      <w:r>
        <w:rPr>
          <w:b/>
          <w:bCs/>
        </w:rPr>
        <w:t xml:space="preserve">Ewentualne zgłoszenie roszczeń przez Podnajemcę („E.” sp.k.):</w:t>
      </w:r>
      <w:r>
        <w:t xml:space="preserve"> </w:t>
      </w:r>
      <w:r>
        <w:t xml:space="preserve">Istnieje realne ryzyko, że „E.” sp.k. będzie dochodzić od Najemcy odszkodowania za straty poniesione w wyniku rozwiązania „Umowy współpracy eventowej” z powodu wypowiedzenia umowy najmu [Źródło 1].</w:t>
      </w:r>
    </w:p>
    <w:p>
      <w:pPr>
        <w:numPr>
          <w:ilvl w:val="0"/>
          <w:numId w:val="1013"/>
        </w:numPr>
      </w:pPr>
      <w:r>
        <w:rPr>
          <w:b/>
          <w:bCs/>
        </w:rPr>
        <w:t xml:space="preserve">Zaproponowanie alternatywnych strategii działania:</w:t>
      </w:r>
    </w:p>
    <w:p>
      <w:pPr>
        <w:pStyle w:val="Compact"/>
        <w:numPr>
          <w:ilvl w:val="1"/>
          <w:numId w:val="1015"/>
        </w:numPr>
      </w:pPr>
      <w:r>
        <w:rPr>
          <w:b/>
          <w:bCs/>
        </w:rPr>
        <w:t xml:space="preserve">Negocjacje / Mediacje (rekomendowana opcja początkowa):</w:t>
      </w:r>
    </w:p>
    <w:p>
      <w:pPr>
        <w:pStyle w:val="Compact"/>
        <w:numPr>
          <w:ilvl w:val="2"/>
          <w:numId w:val="1016"/>
        </w:numPr>
      </w:pPr>
      <w:r>
        <w:rPr>
          <w:b/>
          <w:bCs/>
        </w:rPr>
        <w:t xml:space="preserve">Działania:</w:t>
      </w:r>
      <w:r>
        <w:t xml:space="preserve"> </w:t>
      </w:r>
      <w:r>
        <w:t xml:space="preserve">Natychmiastowe nawiązanie kontaktu z Wynajmującym w celu podjęcia próby mediacji lub negocjacji ugody. Przedstawienie argumentów Najemcy (np. brak faktycznego podnajmu, ale usługa; możliwość uiszczenia dodatkowej opłaty dla Wynajmującego za zgodę na taką formę współpracy; wykazanie utraconych korzyści Najemcy w przypadku rozwiązania umowy). Celem jest wycofanie wypowiedzenia i/lub osiągnięcie porozumienia co do dalszych warunków najmu i rozliczenia.</w:t>
      </w:r>
    </w:p>
    <w:p>
      <w:pPr>
        <w:pStyle w:val="Compact"/>
        <w:numPr>
          <w:ilvl w:val="2"/>
          <w:numId w:val="1016"/>
        </w:numPr>
      </w:pPr>
      <w:r>
        <w:rPr>
          <w:b/>
          <w:bCs/>
        </w:rPr>
        <w:t xml:space="preserve">Przewidywane koszty:</w:t>
      </w:r>
      <w:r>
        <w:t xml:space="preserve"> </w:t>
      </w:r>
      <w:r>
        <w:t xml:space="preserve">Koszty mediacji (niewielkie w porównaniu do kosztów sądowych), ewentualne koszty honorarium dla radcy prawnego/adwokata za udział w negocjacjach.</w:t>
      </w:r>
    </w:p>
    <w:p>
      <w:pPr>
        <w:pStyle w:val="Compact"/>
        <w:numPr>
          <w:ilvl w:val="2"/>
          <w:numId w:val="1016"/>
        </w:numPr>
      </w:pPr>
      <w:r>
        <w:rPr>
          <w:b/>
          <w:bCs/>
        </w:rPr>
        <w:t xml:space="preserve">Ramy czasowe:</w:t>
      </w:r>
      <w:r>
        <w:t xml:space="preserve"> </w:t>
      </w:r>
      <w:r>
        <w:t xml:space="preserve">Kilka tygodni do 2-3 miesięcy.</w:t>
      </w:r>
    </w:p>
    <w:p>
      <w:pPr>
        <w:pStyle w:val="Compact"/>
        <w:numPr>
          <w:ilvl w:val="1"/>
          <w:numId w:val="1015"/>
        </w:numPr>
      </w:pPr>
      <w:r>
        <w:rPr>
          <w:b/>
          <w:bCs/>
        </w:rPr>
        <w:t xml:space="preserve">Postępowanie przedsądowe:</w:t>
      </w:r>
    </w:p>
    <w:p>
      <w:pPr>
        <w:pStyle w:val="Compact"/>
        <w:numPr>
          <w:ilvl w:val="2"/>
          <w:numId w:val="1017"/>
        </w:numPr>
      </w:pPr>
      <w:r>
        <w:rPr>
          <w:b/>
          <w:bCs/>
        </w:rPr>
        <w:t xml:space="preserve">Działania:</w:t>
      </w:r>
      <w:r>
        <w:t xml:space="preserve"> </w:t>
      </w:r>
      <w:r>
        <w:t xml:space="preserve">Wysłanie do Wynajmującego wezwania przedsądowego do wycofania wypowiedzenia i zwrotu kaucji (lub jej części), z przedstawieniem szczegółowej argumentacji prawnej i wyliczeniem ewentualnych roszczeń Najemcy.</w:t>
      </w:r>
    </w:p>
    <w:p>
      <w:pPr>
        <w:pStyle w:val="Compact"/>
        <w:numPr>
          <w:ilvl w:val="2"/>
          <w:numId w:val="1017"/>
        </w:numPr>
      </w:pPr>
      <w:r>
        <w:rPr>
          <w:b/>
          <w:bCs/>
        </w:rPr>
        <w:t xml:space="preserve">Przewidywane koszty:</w:t>
      </w:r>
      <w:r>
        <w:t xml:space="preserve"> </w:t>
      </w:r>
      <w:r>
        <w:t xml:space="preserve">Honorarium radcy prawnego/adwokata.</w:t>
      </w:r>
    </w:p>
    <w:p>
      <w:pPr>
        <w:pStyle w:val="Compact"/>
        <w:numPr>
          <w:ilvl w:val="2"/>
          <w:numId w:val="1017"/>
        </w:numPr>
      </w:pPr>
      <w:r>
        <w:rPr>
          <w:b/>
          <w:bCs/>
        </w:rPr>
        <w:t xml:space="preserve">Ramy czasowe:</w:t>
      </w:r>
      <w:r>
        <w:t xml:space="preserve"> </w:t>
      </w:r>
      <w:r>
        <w:t xml:space="preserve">Ok. 2 tygodnie na odpowiedź Wynajmującego.</w:t>
      </w:r>
    </w:p>
    <w:p>
      <w:pPr>
        <w:pStyle w:val="Compact"/>
        <w:numPr>
          <w:ilvl w:val="1"/>
          <w:numId w:val="1015"/>
        </w:numPr>
      </w:pPr>
      <w:r>
        <w:rPr>
          <w:b/>
          <w:bCs/>
        </w:rPr>
        <w:t xml:space="preserve">Wniesienie powództwa o ustalenie bezskuteczności wypowiedzenia / bezpodstawne potrącenie kaucji (w przypadku niepowodzenia negocjacji):</w:t>
      </w:r>
    </w:p>
    <w:p>
      <w:pPr>
        <w:pStyle w:val="Compact"/>
        <w:numPr>
          <w:ilvl w:val="2"/>
          <w:numId w:val="1018"/>
        </w:numPr>
      </w:pPr>
      <w:r>
        <w:rPr>
          <w:b/>
          <w:bCs/>
        </w:rPr>
        <w:t xml:space="preserve">Działania:</w:t>
      </w:r>
    </w:p>
    <w:p>
      <w:pPr>
        <w:pStyle w:val="Compact"/>
        <w:numPr>
          <w:ilvl w:val="3"/>
          <w:numId w:val="1019"/>
        </w:numPr>
      </w:pPr>
      <w:r>
        <w:rPr>
          <w:b/>
          <w:bCs/>
        </w:rPr>
        <w:t xml:space="preserve">Powództwo o ustalenie bezskuteczności wypowiedzenia:</w:t>
      </w:r>
      <w:r>
        <w:t xml:space="preserve"> </w:t>
      </w:r>
      <w:r>
        <w:t xml:space="preserve">Celem jest sądowe stwierdzenie, że wypowiedzenie było nieskuteczne i umowa najmu nadal obowiązuje. Podstawą może być art. 189 k.p.c. (brak w bloku, ale to ogólna podstawa powództwa o ustalenie). W przypadku wygranej, Najemca może dochodzić dalszych roszczeń (np. odszkodowania za utracone korzyści wynikające z niemożności prowadzenia działalności w okresie rzekomo wypowiedzianej umowy).</w:t>
      </w:r>
    </w:p>
    <w:p>
      <w:pPr>
        <w:pStyle w:val="Compact"/>
        <w:numPr>
          <w:ilvl w:val="3"/>
          <w:numId w:val="1019"/>
        </w:numPr>
      </w:pPr>
      <w:r>
        <w:rPr>
          <w:b/>
          <w:bCs/>
        </w:rPr>
        <w:t xml:space="preserve">Powództwo o zwrot kaucji:</w:t>
      </w:r>
      <w:r>
        <w:t xml:space="preserve"> </w:t>
      </w:r>
      <w:r>
        <w:t xml:space="preserve">Roszczenie o zwrot kaucji w kwocie 25 000 zł (lub jej niewykorzystanej części), ewentualnie wraz z odsetkami.</w:t>
      </w:r>
    </w:p>
    <w:p>
      <w:pPr>
        <w:pStyle w:val="Compact"/>
        <w:numPr>
          <w:ilvl w:val="3"/>
          <w:numId w:val="1019"/>
        </w:numPr>
      </w:pPr>
      <w:r>
        <w:rPr>
          <w:b/>
          <w:bCs/>
        </w:rPr>
        <w:t xml:space="preserve">Pozew wzajemny:</w:t>
      </w:r>
      <w:r>
        <w:t xml:space="preserve"> </w:t>
      </w:r>
      <w:r>
        <w:t xml:space="preserve">Jeśli Wynajmujący wniesie pozew o eksmisję lub zapłatę, Najemca może złożyć pozew wzajemny o zwrot kaucji i odszkodowanie.</w:t>
      </w:r>
    </w:p>
    <w:p>
      <w:pPr>
        <w:pStyle w:val="Compact"/>
        <w:numPr>
          <w:ilvl w:val="3"/>
          <w:numId w:val="1019"/>
        </w:numPr>
      </w:pPr>
      <w:r>
        <w:rPr>
          <w:b/>
          <w:bCs/>
        </w:rPr>
        <w:t xml:space="preserve">Wniosek o zabezpieczenie roszczenia:</w:t>
      </w:r>
      <w:r>
        <w:t xml:space="preserve"> </w:t>
      </w:r>
      <w:r>
        <w:t xml:space="preserve">Można złożyć wniosek o zabezpieczenie powództwa (art. 736 k.p.c. jest w bloku), np. poprzez wstrzymanie wykonania wypowiedzenia, co pozwoliłoby Najemcy na dalsze korzystanie z lokalu na czas trwania procesu. Wniosek musi uprawdopodobnić roszczenie i interes prawny w zabezpieczeniu.</w:t>
      </w:r>
    </w:p>
    <w:p>
      <w:pPr>
        <w:pStyle w:val="Compact"/>
        <w:numPr>
          <w:ilvl w:val="2"/>
          <w:numId w:val="1018"/>
        </w:numPr>
      </w:pPr>
      <w:r>
        <w:rPr>
          <w:b/>
          <w:bCs/>
        </w:rPr>
        <w:t xml:space="preserve">Przewidywane koszty:</w:t>
      </w:r>
    </w:p>
    <w:p>
      <w:pPr>
        <w:pStyle w:val="Compact"/>
        <w:numPr>
          <w:ilvl w:val="3"/>
          <w:numId w:val="1020"/>
        </w:numPr>
      </w:pPr>
      <w:r>
        <w:t xml:space="preserve">Opłata sądowa od pozwu (zależna od wartości przedmiotu sporu – np. dla roszczenia o zwrot kaucji 25 000 zł, opłata to 5% wartości, czyli 1 250 zł. Dla ustalenia bezskuteczności wypowiedzenia VSP może być ustalona jako 3-miesięczny czynsz lub wartość świadczeń do końca umowy).</w:t>
      </w:r>
    </w:p>
    <w:p>
      <w:pPr>
        <w:pStyle w:val="Compact"/>
        <w:numPr>
          <w:ilvl w:val="3"/>
          <w:numId w:val="1020"/>
        </w:numPr>
      </w:pPr>
      <w:r>
        <w:t xml:space="preserve">Koszty zastępstwa procesowego (wynagrodzenie radcy prawnego/adwokata).</w:t>
      </w:r>
    </w:p>
    <w:p>
      <w:pPr>
        <w:pStyle w:val="Compact"/>
        <w:numPr>
          <w:ilvl w:val="3"/>
          <w:numId w:val="1020"/>
        </w:numPr>
      </w:pPr>
      <w:r>
        <w:t xml:space="preserve">Koszty biegłych (jeśli będą potrzebne do wyliczenia szkód/korzyści).</w:t>
      </w:r>
    </w:p>
    <w:p>
      <w:pPr>
        <w:pStyle w:val="Compact"/>
        <w:numPr>
          <w:ilvl w:val="2"/>
          <w:numId w:val="1018"/>
        </w:numPr>
      </w:pPr>
      <w:r>
        <w:rPr>
          <w:b/>
          <w:bCs/>
        </w:rPr>
        <w:t xml:space="preserve">Ramy czasowe postępowania (Sąd Rejonowy Warszawa-Śródmieście):</w:t>
      </w:r>
    </w:p>
    <w:p>
      <w:pPr>
        <w:pStyle w:val="Compact"/>
        <w:numPr>
          <w:ilvl w:val="3"/>
          <w:numId w:val="1021"/>
        </w:numPr>
      </w:pPr>
      <w:r>
        <w:t xml:space="preserve">Pierwsza instancja (Sąd Rejonowy): Od 6 miesięcy do 2 lat, w zależności od złożoności sprawy i obłożenia sądu. Orzeczenia [1], [2], [10], [11] to wyroki zaoczne, co w przypadku braku aktywności pozwanego może przyspieszyć proces.</w:t>
      </w:r>
    </w:p>
    <w:p>
      <w:pPr>
        <w:pStyle w:val="Compact"/>
        <w:numPr>
          <w:ilvl w:val="3"/>
          <w:numId w:val="1021"/>
        </w:numPr>
      </w:pPr>
      <w:r>
        <w:t xml:space="preserve">Druga instancja (Sąd Okręgowy): Dodatkowe 6 miesięcy do 1 roku.</w:t>
      </w:r>
    </w:p>
    <w:bookmarkEnd w:id="17"/>
    <w:bookmarkEnd w:id="18"/>
    <w:bookmarkStart w:id="19" w:name="instrukcja-kolejnych-kroków"/>
    <w:p>
      <w:pPr>
        <w:pStyle w:val="Heading2"/>
      </w:pPr>
      <w:r>
        <w:t xml:space="preserve">Instrukcja kolejnych kroków</w:t>
      </w:r>
    </w:p>
    <w:p>
      <w:pPr>
        <w:pStyle w:val="Compact"/>
        <w:numPr>
          <w:ilvl w:val="0"/>
          <w:numId w:val="1022"/>
        </w:numPr>
      </w:pPr>
      <w:r>
        <w:rPr>
          <w:b/>
          <w:bCs/>
        </w:rPr>
        <w:t xml:space="preserve">Analiza i zabezpieczenie dokumentacji (NATYCHMIAST):</w:t>
      </w:r>
    </w:p>
    <w:p>
      <w:pPr>
        <w:pStyle w:val="Compact"/>
        <w:numPr>
          <w:ilvl w:val="1"/>
          <w:numId w:val="1023"/>
        </w:numPr>
      </w:pPr>
      <w:r>
        <w:t xml:space="preserve">Zgromadzenie pełnej dokumentacji dotyczącej umowy najmu (w tym załączników, aneksów).</w:t>
      </w:r>
    </w:p>
    <w:p>
      <w:pPr>
        <w:pStyle w:val="Compact"/>
        <w:numPr>
          <w:ilvl w:val="1"/>
          <w:numId w:val="1023"/>
        </w:numPr>
      </w:pPr>
      <w:r>
        <w:t xml:space="preserve">Pozyskanie pełnej treści „Umowy współpracy eventowej” z „E.” sp.k.</w:t>
      </w:r>
    </w:p>
    <w:p>
      <w:pPr>
        <w:pStyle w:val="Compact"/>
        <w:numPr>
          <w:ilvl w:val="1"/>
          <w:numId w:val="1023"/>
        </w:numPr>
      </w:pPr>
      <w:r>
        <w:t xml:space="preserve">Zgromadzenie kopii faktur FV/████/01 i FV/████/01 [Źródło 2] oraz innej dokumentKontynuacja instrukcji kolejnych kroków:</w:t>
      </w:r>
    </w:p>
    <w:p>
      <w:pPr>
        <w:pStyle w:val="Compact"/>
        <w:numPr>
          <w:ilvl w:val="0"/>
          <w:numId w:val="1022"/>
        </w:numPr>
      </w:pPr>
      <w:r>
        <w:rPr>
          <w:b/>
          <w:bCs/>
        </w:rPr>
        <w:t xml:space="preserve">Analiza i zabezpieczenie dokumentacji (NATYCHMIAST):</w:t>
      </w:r>
    </w:p>
    <w:p>
      <w:pPr>
        <w:pStyle w:val="Compact"/>
        <w:numPr>
          <w:ilvl w:val="1"/>
          <w:numId w:val="1024"/>
        </w:numPr>
      </w:pPr>
      <w:r>
        <w:t xml:space="preserve">Zgromadzenie kopii faktur FV/████/01 i FV/████/01 [Źródło 2] oraz innej dokumentacji finansowej związanej ze „współpracą eventową”.</w:t>
      </w:r>
    </w:p>
    <w:p>
      <w:pPr>
        <w:pStyle w:val="Compact"/>
        <w:numPr>
          <w:ilvl w:val="1"/>
          <w:numId w:val="1024"/>
        </w:numPr>
      </w:pPr>
      <w:r>
        <w:t xml:space="preserve">Pozyskanie wszelkiej korespondencji (e-mail, sms, listy) między Najemcą a Wynajmującym oraz Najemcą a Podnajemcą.</w:t>
      </w:r>
    </w:p>
    <w:p>
      <w:pPr>
        <w:pStyle w:val="Compact"/>
        <w:numPr>
          <w:ilvl w:val="1"/>
          <w:numId w:val="1024"/>
        </w:numPr>
      </w:pPr>
      <w:r>
        <w:t xml:space="preserve">Zabezpieczenie oświadczeń/potwierdzeń od pracowników Najemcy, świadków ewentualnych rozmów z Wynajmującym lub jego przedstawicielami na temat „współpracy eventowej”.</w:t>
      </w:r>
    </w:p>
    <w:p>
      <w:pPr>
        <w:pStyle w:val="Compact"/>
        <w:numPr>
          <w:ilvl w:val="0"/>
          <w:numId w:val="1022"/>
        </w:numPr>
      </w:pPr>
      <w:r>
        <w:rPr>
          <w:b/>
          <w:bCs/>
        </w:rPr>
        <w:t xml:space="preserve">Ocena i doradztwo (TERMIN: 1-3 dni od zabezpieczenia dokumentacji):</w:t>
      </w:r>
    </w:p>
    <w:p>
      <w:pPr>
        <w:pStyle w:val="Compact"/>
        <w:numPr>
          <w:ilvl w:val="1"/>
          <w:numId w:val="1025"/>
        </w:numPr>
      </w:pPr>
      <w:r>
        <w:t xml:space="preserve">Szczegółowa analiza zebranej dokumentacji pod kątem mocnych i słabych punktów, potwierdzenia lub obalenia twierdzeń Wynajmującego.</w:t>
      </w:r>
    </w:p>
    <w:p>
      <w:pPr>
        <w:pStyle w:val="Compact"/>
        <w:numPr>
          <w:ilvl w:val="1"/>
          <w:numId w:val="1025"/>
        </w:numPr>
      </w:pPr>
      <w:r>
        <w:t xml:space="preserve">Przygotowanie szczegółowej kalkulacji roszczeń Najemcy (zwrot kaucji, odszkodowanie za utracone korzyści).</w:t>
      </w:r>
    </w:p>
    <w:p>
      <w:pPr>
        <w:pStyle w:val="Compact"/>
        <w:numPr>
          <w:ilvl w:val="0"/>
          <w:numId w:val="1022"/>
        </w:numPr>
      </w:pPr>
      <w:r>
        <w:rPr>
          <w:b/>
          <w:bCs/>
        </w:rPr>
        <w:t xml:space="preserve">Podjęcie decyzji strategicznej (TERMIN: 3-5 dni od doradztwa):</w:t>
      </w:r>
    </w:p>
    <w:p>
      <w:pPr>
        <w:pStyle w:val="Compact"/>
        <w:numPr>
          <w:ilvl w:val="1"/>
          <w:numId w:val="1026"/>
        </w:numPr>
      </w:pPr>
      <w:r>
        <w:t xml:space="preserve">Po przedstawieniu Najemcy wszystkich ryzyk i szans oraz możliwych strategii, podjęcie wspólnej decyzji o dalszym kierunku działania (negocjacje/mediacja vs. postępowanie sądowe).</w:t>
      </w:r>
    </w:p>
    <w:p>
      <w:pPr>
        <w:pStyle w:val="Compact"/>
        <w:numPr>
          <w:ilvl w:val="1"/>
          <w:numId w:val="1026"/>
        </w:numPr>
      </w:pPr>
      <w:r>
        <w:t xml:space="preserve">W przypadku decyzji o negocjacjach, przygotowanie propozycji ugodowej.</w:t>
      </w:r>
    </w:p>
    <w:p>
      <w:pPr>
        <w:pStyle w:val="Compact"/>
        <w:numPr>
          <w:ilvl w:val="1"/>
          <w:numId w:val="1026"/>
        </w:numPr>
      </w:pPr>
      <w:r>
        <w:t xml:space="preserve">W przypadku decyzji o postępowaniu sądowym, przygotowanie niezbędnych pism procesowych.</w:t>
      </w:r>
    </w:p>
    <w:p>
      <w:pPr>
        <w:pStyle w:val="Compact"/>
        <w:numPr>
          <w:ilvl w:val="0"/>
          <w:numId w:val="1022"/>
        </w:numPr>
      </w:pPr>
      <w:r>
        <w:rPr>
          <w:b/>
          <w:bCs/>
        </w:rPr>
        <w:t xml:space="preserve">Działania pozaprocesowe (jeśli wybrano negocjacje/mediacje - TERMIN: NATYCHMIAST po decyzji strategicznej):</w:t>
      </w:r>
    </w:p>
    <w:p>
      <w:pPr>
        <w:pStyle w:val="Compact"/>
        <w:numPr>
          <w:ilvl w:val="1"/>
          <w:numId w:val="1027"/>
        </w:numPr>
      </w:pPr>
      <w:r>
        <w:t xml:space="preserve">Wysłanie do Wynajmującego propozycji ugodowej, zawierającej argumentację prawną oraz wyliczenie roszczeń Najemcy i ewentualnie ustępstwa.</w:t>
      </w:r>
    </w:p>
    <w:p>
      <w:pPr>
        <w:pStyle w:val="Compact"/>
        <w:numPr>
          <w:ilvl w:val="1"/>
          <w:numId w:val="1027"/>
        </w:numPr>
      </w:pPr>
      <w:r>
        <w:t xml:space="preserve">Wszczęcie postępowania mediacyjnego, jeśli Wynajmujący wyrazi zgodę.</w:t>
      </w:r>
    </w:p>
    <w:p>
      <w:pPr>
        <w:pStyle w:val="Compact"/>
        <w:numPr>
          <w:ilvl w:val="0"/>
          <w:numId w:val="1022"/>
        </w:numPr>
      </w:pPr>
      <w:r>
        <w:rPr>
          <w:b/>
          <w:bCs/>
        </w:rPr>
        <w:t xml:space="preserve">Działania procesowe (jeśli wybrano - TERMIN: NATYCHMIAST po decyzji strategicznej lub niepowodzeniu negocjacji):</w:t>
      </w:r>
    </w:p>
    <w:p>
      <w:pPr>
        <w:pStyle w:val="Compact"/>
        <w:numPr>
          <w:ilvl w:val="1"/>
          <w:numId w:val="1028"/>
        </w:numPr>
      </w:pPr>
      <w:r>
        <w:t xml:space="preserve">Wniesienie pozwu o ustalenie bezskuteczności wypowiedzenia i/lub zwrot kaucji i odszkodowanie.</w:t>
      </w:r>
    </w:p>
    <w:p>
      <w:pPr>
        <w:pStyle w:val="Compact"/>
        <w:numPr>
          <w:ilvl w:val="1"/>
          <w:numId w:val="1028"/>
        </w:numPr>
      </w:pPr>
      <w:r>
        <w:t xml:space="preserve">Złożenie wniosku o zabezpieczenie roszczenia (np. wstrzymanie wykonania wypowiedzenia), jeśli istnieje taka potrzeba i możliwość uprawdopodobnienia.</w:t>
      </w:r>
    </w:p>
    <w:p>
      <w:pPr>
        <w:pStyle w:val="Compact"/>
        <w:numPr>
          <w:ilvl w:val="0"/>
          <w:numId w:val="1022"/>
        </w:numPr>
      </w:pPr>
      <w:r>
        <w:rPr>
          <w:b/>
          <w:bCs/>
        </w:rPr>
        <w:t xml:space="preserve">Monitorowanie i reagowanie (STAŁE):</w:t>
      </w:r>
    </w:p>
    <w:p>
      <w:pPr>
        <w:pStyle w:val="Compact"/>
        <w:numPr>
          <w:ilvl w:val="1"/>
          <w:numId w:val="1029"/>
        </w:numPr>
      </w:pPr>
      <w:r>
        <w:t xml:space="preserve">Bieżące monitorowanie stanu sprawy i reagowanie na pisma oraz działania Wynajmującego.</w:t>
      </w:r>
    </w:p>
    <w:p>
      <w:pPr>
        <w:pStyle w:val="Compact"/>
        <w:numPr>
          <w:ilvl w:val="1"/>
          <w:numId w:val="1029"/>
        </w:numPr>
      </w:pPr>
      <w:r>
        <w:t xml:space="preserve">W przypadku roszczeń ze strony „E.” sp.k. wobec Najemcy, natychmiastowa analiza i podjęcie obrony.</w:t>
      </w:r>
    </w:p>
    <w:bookmarkEnd w:id="19"/>
    <w:bookmarkStart w:id="21" w:name="rekomendowane-pisma"/>
    <w:p>
      <w:pPr>
        <w:pStyle w:val="Heading2"/>
      </w:pPr>
      <w:r>
        <w:t xml:space="preserve">Rekomendowane pisma</w:t>
      </w:r>
    </w:p>
    <w:p>
      <w:pPr>
        <w:pStyle w:val="FirstParagraph"/>
      </w:pPr>
      <w:r>
        <w:t xml:space="preserve">[[PROPOSE_DOC: Wezwanie do mediacji/negocjacji z Wynajmującym]]</w:t>
      </w:r>
      <w:r>
        <w:t xml:space="preserve"> </w:t>
      </w:r>
      <w:r>
        <w:t xml:space="preserve">[[PROPOSE_DOC: Pozew o ustalenie bezskuteczności wypowiedzenia i/lub zwrot kaucji i odszkodowanie]]</w:t>
      </w:r>
      <w:r>
        <w:t xml:space="preserve"> </w:t>
      </w:r>
      <w:r>
        <w:t xml:space="preserve">[[PROPOSE_DOC: Wniosek o zabezpieczenie roszczenia (o ile konieczne i zasadne)]]</w:t>
      </w:r>
    </w:p>
    <w:p>
      <w:r>
        <w:pict>
          <v:rect style="width:0;height:1.5pt" o:hralign="center" o:hrstd="t" o:hr="t"/>
        </w:pict>
      </w:r>
    </w:p>
    <w:bookmarkStart w:id="20" w:name="wykorzystane-źródła-i-orzeczenia"/>
    <w:p>
      <w:pPr>
        <w:pStyle w:val="Heading3"/>
      </w:pPr>
      <w:r>
        <w:t xml:space="preserve">Wykorzystane źródła i orzeczenia</w:t>
      </w:r>
    </w:p>
    <w:p>
      <w:pPr>
        <w:pStyle w:val="Compact"/>
        <w:numPr>
          <w:ilvl w:val="0"/>
          <w:numId w:val="1030"/>
        </w:numPr>
      </w:pPr>
      <w:r>
        <w:rPr>
          <w:b/>
          <w:bCs/>
        </w:rPr>
        <w:t xml:space="preserve">[attachment]</w:t>
      </w:r>
      <w:r>
        <w:t xml:space="preserve"> </w:t>
      </w:r>
      <w:r>
        <w:t xml:space="preserve">D1 · Streszczenie · Sprawa_LP052_podnajem-lokalu-uzytkowego-kiedy-potrzebna-jest-zgoda-wynajmujacego-i-.md — *</w:t>
      </w:r>
      <w:r>
        <w:t xml:space="preserve"> </w:t>
      </w:r>
      <w:r>
        <w:rPr>
          <w:b/>
          <w:bCs/>
        </w:rPr>
        <w:t xml:space="preserve">Typ dokumentu:</w:t>
      </w:r>
      <w:r>
        <w:t xml:space="preserve"> </w:t>
      </w:r>
      <w:r>
        <w:t xml:space="preserve">Kazus prawny, opis stanu faktycznego i zadanie dla kancelarii prawnej.</w:t>
      </w:r>
    </w:p>
    <w:p>
      <w:pPr>
        <w:pStyle w:val="Compact"/>
        <w:numPr>
          <w:ilvl w:val="0"/>
          <w:numId w:val="1031"/>
        </w:numPr>
      </w:pPr>
      <w:r>
        <w:rPr>
          <w:b/>
          <w:bCs/>
        </w:rPr>
        <w:t xml:space="preserve">Sygnatura (pliku):</w:t>
      </w:r>
      <w:r>
        <w:t xml:space="preserve"> </w:t>
      </w:r>
      <w:r>
        <w:t xml:space="preserve">Sprawa_LP052_podnajem-lokalu-uzytkowego-kiedy-potrzebna-jest-zgoda-wynajmujacego-i-.md</w:t>
      </w:r>
    </w:p>
    <w:p>
      <w:pPr>
        <w:pStyle w:val="Compact"/>
        <w:numPr>
          <w:ilvl w:val="0"/>
          <w:numId w:val="1031"/>
        </w:numPr>
      </w:pPr>
      <w:r>
        <w:rPr>
          <w:b/>
          <w:bCs/>
        </w:rPr>
        <w:t xml:space="preserve">Daty istotnych zdarzeń:</w:t>
      </w:r>
      <w:r>
        <w:t xml:space="preserve"> </w:t>
      </w:r>
      <w:r>
        <w:t xml:space="preserve">Od 1 marca 2023 r. (zawarcie umowy najmu) do 26 lutego 2025</w:t>
      </w:r>
    </w:p>
    <w:p>
      <w:pPr>
        <w:pStyle w:val="Compact"/>
        <w:numPr>
          <w:ilvl w:val="0"/>
          <w:numId w:val="1032"/>
        </w:numPr>
      </w:pPr>
      <w:r>
        <w:rPr>
          <w:b/>
          <w:bCs/>
        </w:rPr>
        <w:t xml:space="preserve">[attachment]</w:t>
      </w:r>
      <w:r>
        <w:t xml:space="preserve"> </w:t>
      </w:r>
      <w:r>
        <w:t xml:space="preserve">D1 · Sprawa_LP052_podnajem-lokalu-uzytkowego-kiedy-potrzebna-jest-zgoda-wynajmujacego-i-.md • fragment 5 — ## III. Wytyczne i zadania do analizy prawnej dla prawnika</w:t>
      </w:r>
      <w:r>
        <w:t xml:space="preserve"> </w:t>
      </w:r>
      <w:r>
        <w:t xml:space="preserve">Prosimy o szczegółową analizę prawną i przygotowanie strategii obrony/roszczeń, odpowiadając na poniższe pytania. W analizie należy uwzględnić odpowiednie przepisy prawa oraz orzecznictwo i doktrynę (w szczególności przepisy Kodeksu cywilneg</w:t>
      </w:r>
    </w:p>
    <w:p>
      <w:pPr>
        <w:pStyle w:val="Compact"/>
        <w:numPr>
          <w:ilvl w:val="0"/>
          <w:numId w:val="1032"/>
        </w:numPr>
      </w:pPr>
      <w:r>
        <w:rPr>
          <w:b/>
          <w:bCs/>
        </w:rPr>
        <w:t xml:space="preserve">[ruling]</w:t>
      </w:r>
      <w:r>
        <w:t xml:space="preserve"> </w:t>
      </w:r>
      <w:r>
        <w:t xml:space="preserve">I C 695/16 • 2017-02-21 • Sąd powszechny — Sygn. akt I C 695/16 WYROK ZAOCZNY W IMIENIU RZECZYPOSPOLITEJ POLSKIEJ Dnia 21 lutego 2017 roku Sąd Rejonowy w Rawie Mazowieckiej I Wydział Cywilny w składzie: Przewodniczący: SSR Jarosław J. P.: st. sekr. sąd. M. A. po rozpoznaniu w dniu 21 lutego 2017 roku w Rawie Mazowiec</w:t>
      </w:r>
    </w:p>
    <w:p>
      <w:pPr>
        <w:pStyle w:val="Compact"/>
        <w:numPr>
          <w:ilvl w:val="0"/>
          <w:numId w:val="1032"/>
        </w:numPr>
      </w:pPr>
      <w:r>
        <w:rPr>
          <w:b/>
          <w:bCs/>
        </w:rPr>
        <w:t xml:space="preserve">[ruling]</w:t>
      </w:r>
      <w:r>
        <w:t xml:space="preserve"> </w:t>
      </w:r>
      <w:r>
        <w:t xml:space="preserve">I C 3559/17 • 2018-01-10 • Sąd powszechny — Sygn. akt I C 3559/17 upr. WYROK ZAOCZNY W IMIENIU RZECZYPOSPOLITEJ POLSKIEJ Data 13 listopada 2017 r. Sąd Rejonowy w Olsztynie, I Wydział Cywilny, w składzie: Przewodniczący: SSR J. S. po rozpoznaniu w dniu 13 listopada 2017 r., w O., na posiedzeniu niejawnym w trybie art. 341 kpc, spra</w:t>
      </w:r>
    </w:p>
    <w:p>
      <w:pPr>
        <w:pStyle w:val="Compact"/>
        <w:numPr>
          <w:ilvl w:val="0"/>
          <w:numId w:val="1032"/>
        </w:numPr>
      </w:pPr>
      <w:r>
        <w:rPr>
          <w:b/>
          <w:bCs/>
        </w:rPr>
        <w:t xml:space="preserve">[ruling]</w:t>
      </w:r>
      <w:r>
        <w:t xml:space="preserve"> </w:t>
      </w:r>
      <w:r>
        <w:t xml:space="preserve">I ACa 1723/24 • 2024-10-09 • Sąd powszechny — Sygn. akt I ACa 1723/24 WYROK W IMIENIU RZECZYPOSPOLITEJ POLSKIEJ Dnia 9 października 2024 r. Sąd Apelacyjny w Krakowie – I Wydział Cywilny w składzie: Przewodniczący: SSA J. W. Sędziowie: SSA R. J. SSA Z. D. Protokolant: J. G. po rozpoznaniu w dniu 9 października</w:t>
      </w:r>
    </w:p>
    <w:p>
      <w:pPr>
        <w:pStyle w:val="Compact"/>
        <w:numPr>
          <w:ilvl w:val="0"/>
          <w:numId w:val="1032"/>
        </w:numPr>
      </w:pPr>
      <w:r>
        <w:rPr>
          <w:b/>
          <w:bCs/>
        </w:rPr>
        <w:t xml:space="preserve">[ruling]</w:t>
      </w:r>
      <w:r>
        <w:t xml:space="preserve"> </w:t>
      </w:r>
      <w:r>
        <w:t xml:space="preserve">VIII P 554/15 • 2016-08-08 • Sąd powszechny — Sygn. akt VIII P 554/15 Uzasadnienie wyroku z dnia 20 lipca 2016 r. Pozwem z dnia 10 lipca 2015 r. (data nadania przesyłki pocztowej – k. 18) powód K. P., zastępowany przez zawodowego pełnomocnika, wniósł o zasądzenie od pozwanego J. M. (1) kwoty 11.179,48 zł z ustawowymi odsetkami: od kwoty 3.734,5</w:t>
      </w:r>
    </w:p>
    <w:p>
      <w:pPr>
        <w:pStyle w:val="Compact"/>
        <w:numPr>
          <w:ilvl w:val="0"/>
          <w:numId w:val="1032"/>
        </w:numPr>
      </w:pPr>
      <w:r>
        <w:rPr>
          <w:b/>
          <w:bCs/>
        </w:rPr>
        <w:t xml:space="preserve">[ruling]</w:t>
      </w:r>
      <w:r>
        <w:t xml:space="preserve"> </w:t>
      </w:r>
      <w:r>
        <w:t xml:space="preserve">I ACa 526/18 • 2019-05-23 • Sąd powszechny — Sygn. akt I ACa 526/18 WYROK W IMIENIU RZECZYPOSPOLITEJ POLSKIEJ Dnia 23 maja 2019 r. Sąd Apelacyjny w Krakowie – I Wydział Cywilny w składzie: Przewodniczący: SSA J. K. Sędziowie: SSA B. B. SSA G. K. (spr.) Protokolant: protokolant I. M. po rozpoznaniu w dniu 23 maja</w:t>
      </w:r>
    </w:p>
    <w:p>
      <w:pPr>
        <w:pStyle w:val="Compact"/>
        <w:numPr>
          <w:ilvl w:val="0"/>
          <w:numId w:val="1032"/>
        </w:numPr>
      </w:pPr>
      <w:r>
        <w:rPr>
          <w:b/>
          <w:bCs/>
        </w:rPr>
        <w:t xml:space="preserve">[ruling]</w:t>
      </w:r>
      <w:r>
        <w:t xml:space="preserve"> </w:t>
      </w:r>
      <w:r>
        <w:t xml:space="preserve">VI ACa 632/15 • 2016-05-12 • Sąd powszechny — Sygn. akt VI ACa 632/15 WYROK W IMIENIU RZECZYPOSPOLITEJ POLSKIEJ Dnia 12 maja 2016 r. Sąd Apelacyjny w Warszawie VI Wydział Cywilny w składzie: Przewodniczący – Sędzia SA E. S. (spr.) Sędziowie: SA M. S. SO del. M. K. Protokolant: K. Ł. po rozpoznaniu w dni</w:t>
      </w:r>
    </w:p>
    <w:p>
      <w:pPr>
        <w:pStyle w:val="Compact"/>
        <w:numPr>
          <w:ilvl w:val="0"/>
          <w:numId w:val="1032"/>
        </w:numPr>
      </w:pPr>
      <w:r>
        <w:rPr>
          <w:b/>
          <w:bCs/>
        </w:rPr>
        <w:t xml:space="preserve">[ruling]</w:t>
      </w:r>
      <w:r>
        <w:t xml:space="preserve"> </w:t>
      </w:r>
      <w:r>
        <w:t xml:space="preserve">IV GC 1307/25 • 2026-04-17 • Sąd powszechny — sygn. akt IV GC 1307/25 UZASADNIENIE co do całości wyroku z 2 kwietnia 2026 roku 1. (…) pozwała Biuro (…) sp. z o.o. o zapłatę 30 657,74 zł wraz z odsetkami ustawowymi za opóźnienie w transakcjach handlowych liczonymi od kwot 7579,15 zł od 24.10.2023 r. do dnia zapłaty, 4369,06 zł od 23.11.2023</w:t>
      </w:r>
    </w:p>
    <w:p>
      <w:pPr>
        <w:pStyle w:val="Compact"/>
        <w:numPr>
          <w:ilvl w:val="0"/>
          <w:numId w:val="1032"/>
        </w:numPr>
      </w:pPr>
      <w:r>
        <w:rPr>
          <w:b/>
          <w:bCs/>
        </w:rPr>
        <w:t xml:space="preserve">[ruling]</w:t>
      </w:r>
      <w:r>
        <w:t xml:space="preserve"> </w:t>
      </w:r>
      <w:r>
        <w:t xml:space="preserve">II C 69/15 • 2016-03-08 • Sąd powszechny — . Sygn. II C 69/15 WYROK W IMIENIU RZECZYPOSPOLITEJ POLSKIEJ Dnia 8 marca 2016 r. Sąd Okręgowy Warszawa Praga w Warszawie II Wydział Cywilny w składzie następującym: Przewodniczący: SSO G. K. Protokolant: K. P. po rozpoznaniu na rozprawie w dniu 23 lutego 2016r. w Warszawie</w:t>
      </w:r>
    </w:p>
    <w:p>
      <w:pPr>
        <w:pStyle w:val="Compact"/>
        <w:numPr>
          <w:ilvl w:val="0"/>
          <w:numId w:val="1032"/>
        </w:numPr>
      </w:pPr>
      <w:r>
        <w:rPr>
          <w:b/>
          <w:bCs/>
        </w:rPr>
        <w:t xml:space="preserve">[ruling]</w:t>
      </w:r>
      <w:r>
        <w:t xml:space="preserve"> </w:t>
      </w:r>
      <w:r>
        <w:t xml:space="preserve">I ACa 2417/24 • 2024-09-30 • Sąd powszechny — Sygn. akt I ACa 2417/24 WYROK W IMIENIU RZECZYPOSPOLITEJ POLSKIEJ Dnia 30 września 2024 r. Sąd Apelacyjny w Krakowie – I Wydział Cywilny w składzie: Przewodniczący: SSA P. C. Protokolant: M. T. po rozpoznaniu w dniu 18 września 2024 r. w Krakowie na rozprawie sprawy z powództwa P</w:t>
      </w:r>
    </w:p>
    <w:p>
      <w:pPr>
        <w:pStyle w:val="Compact"/>
        <w:numPr>
          <w:ilvl w:val="0"/>
          <w:numId w:val="1032"/>
        </w:numPr>
      </w:pPr>
      <w:r>
        <w:rPr>
          <w:b/>
          <w:bCs/>
        </w:rPr>
        <w:t xml:space="preserve">[ruling]</w:t>
      </w:r>
      <w:r>
        <w:t xml:space="preserve"> </w:t>
      </w:r>
      <w:r>
        <w:t xml:space="preserve">I C 1008/17 • 2017-08-08 • Sąd powszechny — Sygn. akt I C 1008/17 upr. WYROK ZAOCZNY W IMIENIU RZECZYPOSPOLITEJ POLSKIEJ Dnia 8 sierpnia 2017 r. Sąd Rejonowy w Olsztynie, I Wydział Cywilny, w składzie: Przewodniczący: SSR P. J. Protokolant: A. L. po rozpoznaniu w dniu 8 sierpnia 2017 r., w O., na rozprawie, sprawy z powództw</w:t>
      </w:r>
    </w:p>
    <w:p>
      <w:pPr>
        <w:pStyle w:val="Compact"/>
        <w:numPr>
          <w:ilvl w:val="0"/>
          <w:numId w:val="1032"/>
        </w:numPr>
      </w:pPr>
      <w:r>
        <w:rPr>
          <w:b/>
          <w:bCs/>
        </w:rPr>
        <w:t xml:space="preserve">[ruling]</w:t>
      </w:r>
      <w:r>
        <w:t xml:space="preserve"> </w:t>
      </w:r>
      <w:r>
        <w:t xml:space="preserve">I C 1634/17 • 2017-10-03 • Sąd powszechny — Sygn. akt I C 1634/17 upr. WYROK ZAOCZNY W IMIENIU RZECZYPOSPOLITEJ POLSKIEJ Dnia 3 października 2017 r. Sąd Rejonowy w Olsztynie, I Wydział Cywilny, w składzie: Przewodniczący: SSR P. J. Protokolant: starszy sekretarz sądowy J. K. - Rogoż po rozpoznaniu w dniu 3 października 20</w:t>
      </w:r>
    </w:p>
    <w:p>
      <w:pPr>
        <w:pStyle w:val="Compact"/>
        <w:numPr>
          <w:ilvl w:val="0"/>
          <w:numId w:val="1032"/>
        </w:numPr>
      </w:pPr>
      <w:r>
        <w:rPr>
          <w:b/>
          <w:bCs/>
        </w:rPr>
        <w:t xml:space="preserve">[ruling]</w:t>
      </w:r>
      <w:r>
        <w:t xml:space="preserve"> </w:t>
      </w:r>
      <w:r>
        <w:t xml:space="preserve">VI Ka 946/16 • 2016-11-04 • Sąd powszechny — Sygn. akt VI Ka 946/16 WYROK W IMIENIU RZECZYPOSPOLITEJ POLSKIEJ Dnia 4 listopada 2016 r. Sąd Okręgowy Warszawa-Praga w Warszawie VI Wydział Karny Odwoławczy w składzie : Przewodniczący: SSO A. W. (spr.) Sędziowie: SO A. M. SO S. M. protokolant:</w:t>
      </w:r>
    </w:p>
    <w:p>
      <w:pPr>
        <w:pStyle w:val="Compact"/>
        <w:numPr>
          <w:ilvl w:val="0"/>
          <w:numId w:val="1032"/>
        </w:numPr>
      </w:pPr>
      <w:r>
        <w:rPr>
          <w:b/>
          <w:bCs/>
        </w:rPr>
        <w:t xml:space="preserve">[ruling]</w:t>
      </w:r>
      <w:r>
        <w:t xml:space="preserve"> </w:t>
      </w:r>
      <w:r>
        <w:t xml:space="preserve">I ACa 117/17 • 2017-07-20 • Sąd powszechny — Sygn. akt I ACa 117/17 WYROK W IMIENIU RZECZYPOSPOLITEJ POLSKIEJ Dnia 20 lipca 2017 r. Sąd Apelacyjny w Białymstoku I Wydział Cywilny w składzie: Przewodniczący : SSA Jarosław M. K. Sędziowie : SSA J. C. (spr.) SSO del. M. M. - Bednarz Protokolant : Ł. P. po</w:t>
      </w:r>
    </w:p>
    <w:p>
      <w:pPr>
        <w:pStyle w:val="Compact"/>
        <w:numPr>
          <w:ilvl w:val="0"/>
          <w:numId w:val="1032"/>
        </w:numPr>
      </w:pPr>
      <w:r>
        <w:rPr>
          <w:b/>
          <w:bCs/>
        </w:rPr>
        <w:t xml:space="preserve">[ruling]</w:t>
      </w:r>
      <w:r>
        <w:t xml:space="preserve"> </w:t>
      </w:r>
      <w:r>
        <w:t xml:space="preserve">II Ca 939/24 • 2025-06-05 • Sąd powszechny — Sygn. akt II Ca 939/24 WYROK W IMIENIU RZECZYPOSPOLITEJ POLSKIEJ Poznań, 5 czerwca 2025 r. Sąd Okręgowy w Poznaniu Wydział II Cywilny Odwoławczy w składzie: Przewodniczący: sędzia R. M. Protokolant: prot. sąd. M. C. po rozpoznaniu 5 czerwca 2025 r. w Poznaniu na rozprawie sprawy</w:t>
      </w:r>
    </w:p>
    <w:p>
      <w:pPr>
        <w:pStyle w:val="Compact"/>
        <w:numPr>
          <w:ilvl w:val="0"/>
          <w:numId w:val="1032"/>
        </w:numPr>
      </w:pPr>
      <w:r>
        <w:rPr>
          <w:b/>
          <w:bCs/>
        </w:rPr>
        <w:t xml:space="preserve">[ruling]</w:t>
      </w:r>
      <w:r>
        <w:t xml:space="preserve"> </w:t>
      </w:r>
      <w:r>
        <w:t xml:space="preserve">X GC 49/15 • 2015-12-07 • Sąd powszechny — Sygn. akt X GC 49/15 UZASADNIENIE Pozwem złożonym w dniu 18 września 2014 roku P. B. prowadzący działalność gospodarczą pod nazwą P.” Firma Handlowa (…) wniósł, w postępowaniu upominawczym, o orzeczenie nakazem zapłaty, że (…) sp. z o.o. sp. k. powinna zapłacić na jego rzecz kwotę 148 117,72 zł</w:t>
      </w:r>
    </w:p>
    <w:p>
      <w:pPr>
        <w:pStyle w:val="Compact"/>
        <w:numPr>
          <w:ilvl w:val="0"/>
          <w:numId w:val="1032"/>
        </w:numPr>
      </w:pPr>
      <w:r>
        <w:rPr>
          <w:b/>
          <w:bCs/>
        </w:rPr>
        <w:t xml:space="preserve">[ruling]</w:t>
      </w:r>
      <w:r>
        <w:t xml:space="preserve"> </w:t>
      </w:r>
      <w:r>
        <w:t xml:space="preserve">I ACa 685/13 • 2014-01-22 • Sąd powszechny — Sygn. akt I ACa 685/13 WYROK W IMIENIU RZECZYPOSPOLITEJ POLSKIEJ Dnia 22 stycznia 2014 r. Sąd Apelacyjny w Gdańsku – Wydział I Cywilny w składzie: Przewodniczący: SSA E. J. Sędziowie: SA B. L. SA M. K. (spr.) Protokolant: st. sekr. sąd. S. L. po rozpoznaniu w</w:t>
      </w:r>
    </w:p>
    <w:p>
      <w:pPr>
        <w:pStyle w:val="Compact"/>
        <w:numPr>
          <w:ilvl w:val="0"/>
          <w:numId w:val="1032"/>
        </w:numPr>
      </w:pPr>
      <w:r>
        <w:rPr>
          <w:b/>
          <w:bCs/>
        </w:rPr>
        <w:t xml:space="preserve">[ruling]</w:t>
      </w:r>
      <w:r>
        <w:t xml:space="preserve"> </w:t>
      </w:r>
      <w:r>
        <w:t xml:space="preserve">VIII U 79/15 • 2016-07-01 • Sąd powszechny — Sygn. akt VIII U 79/15 UZASADNIENIE Decyzją z dnia 28 października 2014 r. Nr (…) Zakład Ubezpieczeń Społecznych I Oddział w Ł. stwierdził, że U. W. podlega obowiązkowym ubezpieczeniom społecznym tj. emerytalnemu, rentowym i wypadkowemu w okresie od 01.10.2008 r. do 23.12.2008 r. i od 26.01.2009 r</w:t>
      </w:r>
    </w:p>
    <w:bookmarkEnd w:id="20"/>
    <w:bookmarkEnd w:id="21"/>
    <w:bookmarkEnd w:id="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2026-10-05T13:29:43Z</dcterms:created>
  <dcterms:modified xsi:type="dcterms:W3CDTF">2026-10-05T13:29:43Z</dcterms:modified>
</cp:coreProperties>
</file>

<file path=docProps/custom.xml><?xml version="1.0" encoding="utf-8"?>
<Properties xmlns="http://schemas.openxmlformats.org/officeDocument/2006/custom-properties" xmlns:vt="http://schemas.openxmlformats.org/officeDocument/2006/docPropsVTypes"/>
</file>