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59-stan-faktyczny-i-dokumenty"/>
    <w:p>
      <w:pPr>
        <w:pStyle w:val="Heading1"/>
      </w:pPr>
      <w:r>
        <w:t xml:space="preserve">Sprawa 059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FirstParagraph"/>
      </w:pPr>
      <w:r>
        <w:t xml:space="preserve">Strony sprawy</w:t>
      </w:r>
      <w:r>
        <w:t xml:space="preserve"> </w:t>
      </w:r>
      <w:r>
        <w:t xml:space="preserve">- Nabywca / Twój Klient: Pan M. K., PESEL ███████████, zam. Warszawa. Wiek 36 lat.</w:t>
      </w:r>
      <w:r>
        <w:t xml:space="preserve"> </w:t>
      </w:r>
      <w:r>
        <w:t xml:space="preserve">- Deweloper / Strona przeciwna: Spółka deweloperska „NOVUM Inwestycje” Sp. z o.o., KRS ██████████, siedziba Warszawa. Reprezentowana przez Prezesa Zarządu A. N..</w:t>
      </w:r>
      <w:r>
        <w:t xml:space="preserve"> </w:t>
      </w:r>
      <w:r>
        <w:t xml:space="preserve">- Dodatkowo: Generalny wykonawca robót budowlanych: P. B. S. sp. z o.o., KRS ██████████.</w:t>
      </w:r>
    </w:p>
    <w:p>
      <w:pPr>
        <w:pStyle w:val="BodyText"/>
      </w:pPr>
      <w:r>
        <w:t xml:space="preserve">Dokładne daty i kwoty</w:t>
      </w:r>
      <w:r>
        <w:t xml:space="preserve"> </w:t>
      </w:r>
      <w:r>
        <w:t xml:space="preserve">- Data zawarcia umowy deweloperskiej: 10 stycznia 2024 r. (Umowa nr DEV/████/01).</w:t>
      </w:r>
      <w:r>
        <w:t xml:space="preserve"> </w:t>
      </w:r>
      <w:r>
        <w:t xml:space="preserve">- Przedmiot umowy: nabycie prawa własności lokalu mieszkalnego nr M-14 w budynku przy Warszawa; powierzchnia użytkowa 48,20 m2; miejsce parkingowe (miejsce postojowe) nr P-2.</w:t>
      </w:r>
      <w:r>
        <w:t xml:space="preserve"> </w:t>
      </w:r>
      <w:r>
        <w:t xml:space="preserve">- Cena całkowita brutto: 548 000,00 PLN (słownie: pięćset czterdzieści osiem tysięcy złotych 00/100 PLN). Harmonogram płatności: zaliczka 10% = 54 800,00 PLN wpłacona 20.01.2024 (faktura VAT ██/████), druga transza 40% = 219 200,00 PLN płatna 15.04.2024 (faktura VAT ██/████), pozostałość 50% = 274 000,00 PLN płatna przy przeniesieniu własności.</w:t>
      </w:r>
      <w:r>
        <w:t xml:space="preserve"> </w:t>
      </w:r>
      <w:r>
        <w:t xml:space="preserve">- Termin przekazania lokalu: przewidziany w umowie do dnia 30.09.2024 r. (par. 6 ust. 1 Umowy DEV/████/01).</w:t>
      </w:r>
      <w:r>
        <w:t xml:space="preserve"> </w:t>
      </w:r>
      <w:r>
        <w:t xml:space="preserve">- Klauzula kar umownych: par. 9 umowy przewiduje karę umowną dla dewelopera 0,1% wartości umowy za każdy dzień opóźnienia, jednakże dalej w par. 9 ust. 4 deweloper zastrzegł, że odpowiedzialność ta nie obowiązuje „w przypadku opóźnień wynikających z okoliczności o charakterze siły wyższej, zmian prawa, niedostępności materiałów, decyzji organów administracji, orzeczeń sądowych, działań podwykonawców oraz w przypadkach uniemożliwienia zawinionego przez kupującego”.</w:t>
      </w:r>
      <w:r>
        <w:t xml:space="preserve"> </w:t>
      </w:r>
      <w:r>
        <w:t xml:space="preserve">- Par. 12 umowy przewiduje, że wszelkie zmiany w projekcie i w zakresie wykończenia mogą być wprowadzane jednostronnie przez dewelopera i stosownie rozliczane; klient ma prawo zgłaszać „uwagi”, lecz ich brak akceptacji nie wstrzymuje wykonania.</w:t>
      </w:r>
      <w:r>
        <w:t xml:space="preserve"> </w:t>
      </w:r>
      <w:r>
        <w:t xml:space="preserve">- Par. 14 ust. 2 nakłada na nabywcę obowiązek pokrycia części kosztów związanych z uzyskaniem warunków przyłączeń mediów oraz z rejestracją KW, jeżeli takie koszty „wynikną z konieczności poniesienia w związku z technicznymi rozwiązaniami projektowymi”.</w:t>
      </w:r>
      <w:r>
        <w:t xml:space="preserve"> </w:t>
      </w:r>
      <w:r>
        <w:t xml:space="preserve">- Par. 15 zawiera klauzulę ograniczającą odpowiedzialność dewelopera za wady na 12 miesięcy od dnia odbioru (z zaznaczeniem, że „zastrzeżenie nie dotyczy wad ukrytych ujawnionych w okresie dłuższym, jeżeli nie spowodowane zostały normalnym zużyciem”).</w:t>
      </w:r>
    </w:p>
    <w:p>
      <w:pPr>
        <w:pStyle w:val="BodyText"/>
      </w:pPr>
      <w:r>
        <w:t xml:space="preserve">Chronologia konfliktu i dotychczasowe działania</w:t>
      </w:r>
      <w:r>
        <w:t xml:space="preserve"> </w:t>
      </w:r>
      <w:r>
        <w:t xml:space="preserve">- 10.01.2024 r. – zawarcie Umowy DEV/████/01.</w:t>
      </w:r>
      <w:r>
        <w:t xml:space="preserve"> </w:t>
      </w:r>
      <w:r>
        <w:t xml:space="preserve">- 20.01.2024 r. – wpłata zaliczki 54 800,00 PLN (faktura VAT ██/████).</w:t>
      </w:r>
      <w:r>
        <w:t xml:space="preserve"> </w:t>
      </w:r>
      <w:r>
        <w:t xml:space="preserve">- 15.04.2024 r. – wpłata drugiej transzy 219 200,00 PLN (faktura VAT ██/████).</w:t>
      </w:r>
      <w:r>
        <w:t xml:space="preserve"> </w:t>
      </w:r>
      <w:r>
        <w:t xml:space="preserve">- 25.09.2024 r. – deweloper przesyła informację (e-mail + pismo handlowe) o przewidywanym opóźnieniu w przekazaniu lokalu do 31.12.2024 r., wskazując jako przyczynę „opóźnienia dostaw stolarki okiennej i zmiany projektu kanalizacji w związku z decyzją ZDM”.</w:t>
      </w:r>
      <w:r>
        <w:t xml:space="preserve"> </w:t>
      </w:r>
      <w:r>
        <w:t xml:space="preserve">- 10.10.2024 r. – Twój Klient składa reklamację na podstawie par. 6 i 9 umowy oraz żąda zastosowania kar umownych; żądanie przesłane pismem rekomendowanym (Wezwanie z dnia 10.10.2024 r., załącznik nr 2).</w:t>
      </w:r>
      <w:r>
        <w:t xml:space="preserve"> </w:t>
      </w:r>
      <w:r>
        <w:t xml:space="preserve">- 05.11.2024 r. – deweloper odpowiada pismem (wewnętrzne pismo spółki z 31.10.2024 r.), odmawiając zapłaty kar umownych ze względu na „okoliczności siły wyższej” oraz powołując się na działanie podwykonawcy „P. B. S. sp. z o.o.” i „opóźnienia w dostawach”, żądając jednocześnie aneksu do umowy w zakresie terminu i dopłat za zmiany projektu.</w:t>
      </w:r>
      <w:r>
        <w:t xml:space="preserve"> </w:t>
      </w:r>
      <w:r>
        <w:t xml:space="preserve">- 20.12.2024 r. – generalny wykonawca P. B. S. sp. z o.o. występuje do dewelopera pismem (protokół z ██.██.████ r.) o dodatkowe wynagrodzenie 48 000,00 PLN z powodu „przeprojektowania instalacji” i opóźnień z winy dostawcy.</w:t>
      </w:r>
      <w:r>
        <w:t xml:space="preserve"> </w:t>
      </w:r>
      <w:r>
        <w:t xml:space="preserve">- 31.12.2024 r. – deweloper informuje e-mailem, że przekazanie lokalu nastąpi „w nieokreślonym terminie do czasu uregulowania roszczeń wobec wykonawcy” oraz ponownie żąda podpisania aneksu, w którym nabywca miałby zaakceptować przesunięcie terminu oraz zrzec się roszczeń z tytułu kar umownych i przyjąć udział w kosztach „dodatkowych prac” w kwocie 20 000,00 PLN.</w:t>
      </w:r>
    </w:p>
    <w:p>
      <w:pPr>
        <w:pStyle w:val="BodyText"/>
      </w:pPr>
      <w:r>
        <w:t xml:space="preserve">Stanowisko strony przeciwnej</w:t>
      </w:r>
      <w:r>
        <w:t xml:space="preserve"> </w:t>
      </w:r>
      <w:r>
        <w:t xml:space="preserve">- Deweloper twierdzi, iż opóźnienie jest rezultatem „okoliczności niezależnych” (siła wyższa, podwykonawcy, dostawy materii), w związku z czym zastrzeżenie kar umownych nie ma zastosowania (powołanie się na par. 9 ust. 4 umowy).</w:t>
      </w:r>
      <w:r>
        <w:t xml:space="preserve"> </w:t>
      </w:r>
      <w:r>
        <w:t xml:space="preserve">- Deweloper podnosi, że umowa przewiduje możliwość jednostronnych zmian w zakresie wykończenia i rozliczeń (par. 12), zatem ewentualne roszczenia nabywcy co do standardu wykończenia lub konieczności dopłat są niezasadne.</w:t>
      </w:r>
      <w:r>
        <w:t xml:space="preserve"> </w:t>
      </w:r>
      <w:r>
        <w:t xml:space="preserve">- Deweloper żąda podpisania aneksu, w którym nabywca zgodzi się na przesunięcie terminu i częściowe pokrycie kosztów dodatkowych.</w:t>
      </w:r>
    </w:p>
    <w:p>
      <w:pPr>
        <w:pStyle w:val="BodyText"/>
      </w:pPr>
      <w:r>
        <w:t xml:space="preserve">Stan klienta kancelarii</w:t>
      </w:r>
      <w:r>
        <w:t xml:space="preserve"> </w:t>
      </w:r>
      <w:r>
        <w:t xml:space="preserve">- Twój Klient: Pan M. K. zdecydowanie odmawia podpisania aneksu, domaga się zapłaty kar umownych za okres od 1.10.2024 r. do dnia faktycznego przekazania lokalu (do grudnia 2024 r. deweloper nie przekazał lokalu), oraz żąda możliwości odstąpienia od umowy i zwrotu zapłaconych środków, ewentualnie odszkodowania ponad kary umowne za straty wynikające z najmu mieszkania zastępczego (najem krótkoterminowy od 01.10.2024 r. do dnia przekazania lokalu; koszty najmu do tej pory: 31 200,00 PLN brutto). Klient obawia się również, że par. 14 i 12 zawierają abuzywne postanowienia przerzucające ryzyko na nabywcę.</w:t>
      </w:r>
    </w:p>
    <w:bookmarkEnd w:id="11"/>
    <w:bookmarkStart w:id="14" w:name="ii.-dokumenty-i-załączniki-dane-testowe"/>
    <w:p>
      <w:pPr>
        <w:pStyle w:val="Heading2"/>
      </w:pPr>
      <w:r>
        <w:t xml:space="preserve">II. Dokumenty i załączniki (dane testowe)</w:t>
      </w:r>
    </w:p>
    <w:bookmarkStart w:id="12" w:name="Xba4a046c5b236be8013095261d6574455c15590"/>
    <w:p>
      <w:pPr>
        <w:pStyle w:val="Heading3"/>
      </w:pPr>
      <w:r>
        <w:t xml:space="preserve">Załącznik nr 1 – Umowa deweloperska nr DEV/████/01 z dnia 10 stycznia 2024 r.</w:t>
      </w:r>
    </w:p>
    <w:p>
      <w:pPr>
        <w:pStyle w:val="FirstParagraph"/>
      </w:pPr>
      <w:r>
        <w:t xml:space="preserve">Umowa deweloperska zawarta w dniu 10 stycznia 2024 r. w Warszawie pomiędzy:</w:t>
      </w:r>
      <w:r>
        <w:t xml:space="preserve"> </w:t>
      </w:r>
      <w:r>
        <w:t xml:space="preserve">1) „NOVUM Inwestycje” Sp. z o.o., Warszawa, KRS ██████████, reprezentowaną przez Prezesa A. N., zwaną dalej „Deweloper”,</w:t>
      </w:r>
      <w:r>
        <w:t xml:space="preserve"> </w:t>
      </w:r>
      <w:r>
        <w:t xml:space="preserve">a</w:t>
      </w:r>
      <w:r>
        <w:t xml:space="preserve"> </w:t>
      </w:r>
      <w:r>
        <w:t xml:space="preserve">2) M. K., PESEL ███████████, zam. Warszawa, zwanym dalej „Nabywca”.</w:t>
      </w:r>
    </w:p>
    <w:p>
      <w:pPr>
        <w:pStyle w:val="BodyText"/>
      </w:pPr>
      <w:r>
        <w:t xml:space="preserve">§1 Przedmiot umowy</w:t>
      </w:r>
      <w:r>
        <w:t xml:space="preserve"> </w:t>
      </w:r>
      <w:r>
        <w:t xml:space="preserve">1. Przedmiotem umowy jest przeniesienie własności lokalu mieszkalnego nr M-14 o pow. 48,20 m2 oraz miejsca postojowego nr P-2 w budynku przy ul. Błękitnej 3, 00-200 Warszawa, wraz z udziałem 0,85% w częściach wspólnych nieruchomości.</w:t>
      </w:r>
    </w:p>
    <w:p>
      <w:pPr>
        <w:pStyle w:val="BodyText"/>
      </w:pPr>
      <w:r>
        <w:t xml:space="preserve">§2 Cena i płatności</w:t>
      </w:r>
      <w:r>
        <w:t xml:space="preserve"> </w:t>
      </w:r>
      <w:r>
        <w:t xml:space="preserve">1. Cena całkowita brutto: 548 000,00 PLN.</w:t>
      </w:r>
      <w:r>
        <w:t xml:space="preserve"> </w:t>
      </w:r>
      <w:r>
        <w:t xml:space="preserve">2. Harmonogram płatności:</w:t>
      </w:r>
      <w:r>
        <w:t xml:space="preserve"> </w:t>
      </w:r>
      <w:r>
        <w:t xml:space="preserve">a) Zaliczka 10% – 54 800,00 PLN, wpłacona 20.01.2024 (Faktura VAT ██/████).</w:t>
      </w:r>
      <w:r>
        <w:t xml:space="preserve"> </w:t>
      </w:r>
      <w:r>
        <w:t xml:space="preserve">b) Druga transza 40% – 219 200,00 PLN, wpłacona 15.04.2024 (Faktura VAT ██/████).</w:t>
      </w:r>
      <w:r>
        <w:t xml:space="preserve"> </w:t>
      </w:r>
      <w:r>
        <w:t xml:space="preserve">c) Pozostałość 50% – 274 000,00 PLN płatna przy przeniesieniu prawa własności.</w:t>
      </w:r>
    </w:p>
    <w:p>
      <w:pPr>
        <w:pStyle w:val="BodyText"/>
      </w:pPr>
      <w:r>
        <w:t xml:space="preserve">§6 Termin przekazania i odbiór</w:t>
      </w:r>
      <w:r>
        <w:t xml:space="preserve"> </w:t>
      </w:r>
      <w:r>
        <w:t xml:space="preserve">1. Deweloper zobowiązuje się przekazać lokal do 30.09.2024 r. wraz z protokołem odbioru podpisanym przez strony.</w:t>
      </w:r>
      <w:r>
        <w:t xml:space="preserve"> </w:t>
      </w:r>
      <w:r>
        <w:t xml:space="preserve">2. W przypadku opóźnienia obowiązują kary umowne, o których mowa w §9.</w:t>
      </w:r>
    </w:p>
    <w:p>
      <w:pPr>
        <w:pStyle w:val="BodyText"/>
      </w:pPr>
      <w:r>
        <w:t xml:space="preserve">§9 Kary umowne</w:t>
      </w:r>
      <w:r>
        <w:t xml:space="preserve"> </w:t>
      </w:r>
      <w:r>
        <w:t xml:space="preserve">1. W przypadku opóźnienia w przekazaniu lokalu Deweloper zapłaci Nabywcy karę umowną w wysokości 0,1% wartości Umowy za każdy dzień opóźnienia, bez konieczności wykazywania poniesionej szkody.</w:t>
      </w:r>
      <w:r>
        <w:t xml:space="preserve"> </w:t>
      </w:r>
      <w:r>
        <w:t xml:space="preserve">2. Kary umowne nie wyłączają prawa Nabywcy do dochodzenia odszkodowania uzupełniającego przewyższającego wysokość kar.</w:t>
      </w:r>
      <w:r>
        <w:t xml:space="preserve"> </w:t>
      </w:r>
      <w:r>
        <w:t xml:space="preserve">3. (..)</w:t>
      </w:r>
      <w:r>
        <w:t xml:space="preserve"> </w:t>
      </w:r>
      <w:r>
        <w:t xml:space="preserve">4. Deweloper nie ponosi odpowiedzialności za opóźnienia spowodowane siłą wyższą, zmianami prawa, niedostępnością materiałów, decyzjami organów administracji publicznej, orzeczeniami sądów, działaniami podwykonawców oraz w przypadku, gdy opóźnienie jest wynikiem działania lub zaniechania Nabywcy.</w:t>
      </w:r>
    </w:p>
    <w:p>
      <w:pPr>
        <w:pStyle w:val="BodyText"/>
      </w:pPr>
      <w:r>
        <w:t xml:space="preserve">§12 Zmiany w projekcie i rozliczenia</w:t>
      </w:r>
      <w:r>
        <w:t xml:space="preserve"> </w:t>
      </w:r>
      <w:r>
        <w:t xml:space="preserve">1. Deweloper ma prawo wprowadzać zmiany w zakresie projektu oraz wykończenia lokalu, o czym powiadomi Nabywcę z co najmniej 7 dniowym wyprzedzeniem.</w:t>
      </w:r>
      <w:r>
        <w:t xml:space="preserve"> </w:t>
      </w:r>
      <w:r>
        <w:t xml:space="preserve">2. W przypadku zmian powodujących różnicę kosztów Nabywca będzie obciążony dodatkowymi kosztami proporcjonalnie do powierzchni lokalu, o wysokości ustalonej przez Dewelopera.</w:t>
      </w:r>
      <w:r>
        <w:t xml:space="preserve"> </w:t>
      </w:r>
      <w:r>
        <w:t xml:space="preserve">3. Brak pisemnej zgody Nabywcy nie wstrzymuje wprowadzenia zmian przez Dewelopera.</w:t>
      </w:r>
    </w:p>
    <w:p>
      <w:pPr>
        <w:pStyle w:val="BodyText"/>
      </w:pPr>
      <w:r>
        <w:t xml:space="preserve">§14 Koszty dodatkowe</w:t>
      </w:r>
      <w:r>
        <w:t xml:space="preserve"> </w:t>
      </w:r>
      <w:r>
        <w:t xml:space="preserve">1. Nabywca zobowiązuje się do pokrycia kosztów związanych z uzyskaniem warunków przyłączeń mediów oraz wpisami do księgi wieczystej, jeżeli koszty te wynikną z rozwiązań projektowych lub decyzji administracyjnych.</w:t>
      </w:r>
    </w:p>
    <w:p>
      <w:pPr>
        <w:pStyle w:val="BodyText"/>
      </w:pPr>
      <w:r>
        <w:t xml:space="preserve">§15 Gwarancja i odpowiedzialność za wady</w:t>
      </w:r>
      <w:r>
        <w:t xml:space="preserve"> </w:t>
      </w:r>
      <w:r>
        <w:t xml:space="preserve">1. Deweloper udziela rękojmi na okres 12 miesięcy od daty odbioru. Wady ukryte będą rozpatrywane zgodnie z przepisami Kodeksu cywilnego.</w:t>
      </w:r>
    </w:p>
    <w:p>
      <w:pPr>
        <w:pStyle w:val="BodyText"/>
      </w:pPr>
      <w:r>
        <w:t xml:space="preserve">Podpisy:</w:t>
      </w:r>
      <w:r>
        <w:t xml:space="preserve"> </w:t>
      </w:r>
      <w:r>
        <w:t xml:space="preserve">N. I. sp. z o.o. — A. N. (podpis)</w:t>
      </w:r>
      <w:r>
        <w:t xml:space="preserve"> </w:t>
      </w:r>
      <w:r>
        <w:t xml:space="preserve">M. K. (podpis)</w:t>
      </w:r>
      <w:r>
        <w:t xml:space="preserve"> </w:t>
      </w:r>
      <w:r>
        <w:t xml:space="preserve">Data: 10.01.2024 r.</w:t>
      </w:r>
    </w:p>
    <w:bookmarkEnd w:id="12"/>
    <w:bookmarkStart w:id="13" w:name="X12c7aeb139e22c47d3eed5a0334cd665838866d"/>
    <w:p>
      <w:pPr>
        <w:pStyle w:val="Heading3"/>
      </w:pPr>
      <w:r>
        <w:t xml:space="preserve">Załącznik nr 2 – Wezwanie do zapłaty kar umownych (wezwanie przedsądowe) z dnia 10 października 2024 r.</w:t>
      </w:r>
    </w:p>
    <w:p>
      <w:pPr>
        <w:pStyle w:val="FirstParagraph"/>
      </w:pPr>
      <w:r>
        <w:t xml:space="preserve">Warszawa, 10 października 2024 r.</w:t>
      </w:r>
    </w:p>
    <w:p>
      <w:pPr>
        <w:pStyle w:val="BodyText"/>
      </w:pPr>
      <w:r>
        <w:t xml:space="preserve">Do: N. I. sp. z o.o., Warszawa</w:t>
      </w:r>
      <w:r>
        <w:t xml:space="preserve"> </w:t>
      </w:r>
      <w:r>
        <w:t xml:space="preserve">Od: M. K., Warszawa</w:t>
      </w:r>
    </w:p>
    <w:p>
      <w:pPr>
        <w:pStyle w:val="BodyText"/>
      </w:pPr>
      <w:r>
        <w:t xml:space="preserve">Dotyczy: Wezwanie do zapłaty kar umownych wynikających z Umowy DEV/████/01</w:t>
      </w:r>
    </w:p>
    <w:p>
      <w:pPr>
        <w:pStyle w:val="BodyText"/>
      </w:pPr>
      <w:r>
        <w:t xml:space="preserve">Na podstawie §9 Umowy DEV/████/01 wzywam N. I. sp. z o.o. do zapłaty kary umownej z tytułu opóźnienia w przekazaniu lokalu mieszkalnego nr M-14 za okres od 1 października 2024 r. do dnia dostarczenia lokalu. Stan na dzień 10.10.2024 r. – opóźnienie 10 dni. Wysokość kary umownej za dzień: 0,1% * 548 000,00 PLN = 548,00 PLN. Żądam zapłaty kwoty 5 480,00 PLN (słownie: pięć tysięcy czterysta osiemdziesiąt złotych) w terminie 14 dni od otrzymania niniejszego wezwania na rachunek: ██ ████ ████ ████ ████ ████ ████. Brak zapłaty zostanie uznany za naruszenie umowy, co spowoduje skierowanie sprawy na drogę postępowania sądowego oraz żądanie odszkodowania uzupełniającego. Jednocześnie żądam potwierdzenia terminu przekazania lokalu i przedłożenia protokołu postępu robót.</w:t>
      </w:r>
    </w:p>
    <w:p>
      <w:pPr>
        <w:pStyle w:val="BodyText"/>
      </w:pPr>
      <w:r>
        <w:t xml:space="preserve">Z poważaniem,</w:t>
      </w:r>
      <w:r>
        <w:t xml:space="preserve"> </w:t>
      </w:r>
      <w:r>
        <w:t xml:space="preserve">M. K. (podpis)</w:t>
      </w:r>
      <w:r>
        <w:t xml:space="preserve"> </w:t>
      </w:r>
      <w:r>
        <w:t xml:space="preserve">Potwierdzenie doręczenia: przesyłka polecona doręczona 13.10.2024 r. (potwierdzenie odbioru: N. I. sp. z o.o., data odbioru 13.10.2024 r., podpis: A. N.).</w:t>
      </w:r>
    </w:p>
    <w:bookmarkEnd w:id="13"/>
    <w:bookmarkEnd w:id="14"/>
    <w:bookmarkStart w:id="15" w:name="X5f55c529dcb1d793b97fef34425a948b67240c7"/>
    <w:p>
      <w:pPr>
        <w:pStyle w:val="Heading2"/>
      </w:pPr>
      <w:r>
        <w:t xml:space="preserve">III. Wytyczne i zadania do analizy prawnej dla prawnika</w:t>
      </w:r>
    </w:p>
    <w:p>
      <w:pPr>
        <w:numPr>
          <w:ilvl w:val="0"/>
          <w:numId w:val="1001"/>
        </w:numPr>
      </w:pPr>
      <w:r>
        <w:t xml:space="preserve">Ocena skuteczności i ważności klauzuli wyłączającej odpowiedzialność dewelopera (§9 ust.4 Umowy) z powołaniem się na „siłę wyższą, decyzje organów, działania podwykonawców” — czy zapisy te są zgodne z ustawą z dnia 16 września 2011 r. o ochronie praw nabywcy lokalu mieszkalnego lub domu jednorodzinnego (tzw. ustawa deweloperska) oraz z przepisami Kodeksu cywilnego (art. 471, art. 3531, art. 355, art. 471-474)? Rozstrzygnąć, które fragmenty zapisu mogą być kwalifikowane jako klauzule abuzywne w rozumieniu art. 385–387 Kodeksu cywilnego oraz art. 3 ust. 1 ustawy o przeciwdziałaniu nieuczciwym praktykom rynkowym.</w:t>
      </w:r>
    </w:p>
    <w:p>
      <w:pPr>
        <w:numPr>
          <w:ilvl w:val="0"/>
          <w:numId w:val="1001"/>
        </w:numPr>
      </w:pPr>
      <w:r>
        <w:t xml:space="preserve">Analiza skutków jednostronnej zmiany projektu i rozliczeń (§12) – czy postanowienia o jednostronnym wprowadzaniu zmian oraz obciążeniu nabywcy dodatkowymi kosztami są dopuszczalne wobec konsumenta (art. 385 i art. 384 K.c.), oraz jakie przesłanki wymagane są, aby uznać za nieważne lub bezskuteczne wobec nabywcy żądanie dopłat (w tym wykładnia postanowień umownych i wykazanie rzeczywistych kosztów przez dewelopera).</w:t>
      </w:r>
    </w:p>
    <w:p>
      <w:pPr>
        <w:numPr>
          <w:ilvl w:val="0"/>
          <w:numId w:val="1001"/>
        </w:numPr>
      </w:pPr>
      <w:r>
        <w:t xml:space="preserve">Terminy i przedawnienie roszczeń – wskazać obowiązujące terminy dochodzenia roszczeń o zapłatę kar umownych oraz roszczeń zastępczych (odstąpienie od umowy, zwrot zapłaconych środków, odszkodowanie za najem lokalu zastępczego), z powołaniem się na art. 118 Kodeksu cywilnego (bieg przedawnienia) oraz odpowiednie przepisy ustawy deweloperskiej dotyczące zabezpieczeń środków nabywcy (rachunek powierniczy, gwarancja bankowa) i ich ewentualnego braku.</w:t>
      </w:r>
    </w:p>
    <w:p>
      <w:pPr>
        <w:numPr>
          <w:ilvl w:val="0"/>
          <w:numId w:val="1001"/>
        </w:numPr>
      </w:pPr>
      <w:r>
        <w:t xml:space="preserve">Kwestie dowodowe – jakie dowody należy zgromadzić, aby wykazać:</w:t>
      </w:r>
    </w:p>
    <w:p>
      <w:pPr>
        <w:pStyle w:val="Compact"/>
        <w:numPr>
          <w:ilvl w:val="1"/>
          <w:numId w:val="1002"/>
        </w:numPr>
      </w:pPr>
      <w:r>
        <w:t xml:space="preserve">opóźnienie dewelopera (dowody: korespondencja, protokoły, data wpłat, e-maile, faktury),</w:t>
      </w:r>
    </w:p>
    <w:p>
      <w:pPr>
        <w:pStyle w:val="Compact"/>
        <w:numPr>
          <w:ilvl w:val="1"/>
          <w:numId w:val="1002"/>
        </w:numPr>
      </w:pPr>
      <w:r>
        <w:t xml:space="preserve">bezskuteczność powołania się dewelopera na „siłę wyższą” (dowody: oferty dostawców, protokoły z budowy, pismo podwykonawcy P. B. S. sp. z o.o. z 18.12.2024 r., dokumentacja zamówień),</w:t>
      </w:r>
    </w:p>
    <w:p>
      <w:pPr>
        <w:pStyle w:val="Compact"/>
        <w:numPr>
          <w:ilvl w:val="1"/>
          <w:numId w:val="1002"/>
        </w:numPr>
      </w:pPr>
      <w:r>
        <w:t xml:space="preserve">rzeczywiste straty Nabywcy (faktury najmu, umowy najmu krótkoterminowego, potwierdzenia przelewów).</w:t>
      </w:r>
      <w:r>
        <w:t xml:space="preserve"> </w:t>
      </w:r>
      <w:r>
        <w:t xml:space="preserve">Wskazać ocenę dowodów z perspektywy sądowej i ewentualne środki dowodowe (ekspertyza rzeczoznawcy budowlanego, opinia biegłego, wezwanie świadka z ramienia wykonawcy).</w:t>
      </w:r>
    </w:p>
    <w:p>
      <w:pPr>
        <w:numPr>
          <w:ilvl w:val="0"/>
          <w:numId w:val="1001"/>
        </w:numPr>
      </w:pPr>
      <w:r>
        <w:t xml:space="preserve">Wyliczenie kwotowe potencjalnego roszczenia na dzień sporządzenia materiału:</w:t>
      </w:r>
    </w:p>
    <w:p>
      <w:pPr>
        <w:pStyle w:val="Compact"/>
        <w:numPr>
          <w:ilvl w:val="1"/>
          <w:numId w:val="1003"/>
        </w:numPr>
      </w:pPr>
      <w:r>
        <w:t xml:space="preserve">należne kary umowne do dnia 10.10.2024 r. (5 480,00 PLN) oraz prognoza dalszych kar do np. 31.12.2024 r. (liczyć dni opóźnienia i sumę);</w:t>
      </w:r>
    </w:p>
    <w:p>
      <w:pPr>
        <w:pStyle w:val="Compact"/>
        <w:numPr>
          <w:ilvl w:val="1"/>
          <w:numId w:val="1003"/>
        </w:numPr>
      </w:pPr>
      <w:r>
        <w:t xml:space="preserve">zwrot zapłaconych środków w przypadku skutecznego odstąpienia od umowy: 548 000,00 PLN (zwykle pomniejszone o wartość świadczeń spełnionych?) – ocena, jakie potrącenia mogą być prawnie dopuszczalne;</w:t>
      </w:r>
    </w:p>
    <w:p>
      <w:pPr>
        <w:pStyle w:val="Compact"/>
        <w:numPr>
          <w:ilvl w:val="1"/>
          <w:numId w:val="1003"/>
        </w:numPr>
      </w:pPr>
      <w:r>
        <w:t xml:space="preserve">roszczenie o zwrot kosztów najmu zastępczego: dotychczas 31 200,00 PLN (podać sposób dokumentowania i ewentualną miarkę odpowiedzialności);</w:t>
      </w:r>
    </w:p>
    <w:p>
      <w:pPr>
        <w:pStyle w:val="Compact"/>
        <w:numPr>
          <w:ilvl w:val="1"/>
          <w:numId w:val="1003"/>
        </w:numPr>
      </w:pPr>
      <w:r>
        <w:t xml:space="preserve">inne ewentualne koszty: opłaty sądowe, koszty zastępstwa procesowego.</w:t>
      </w:r>
    </w:p>
    <w:p>
      <w:pPr>
        <w:numPr>
          <w:ilvl w:val="0"/>
          <w:numId w:val="1001"/>
        </w:numPr>
      </w:pPr>
      <w:r>
        <w:t xml:space="preserve">Strategie procesowe i ryzyka:</w:t>
      </w:r>
    </w:p>
    <w:p>
      <w:pPr>
        <w:pStyle w:val="Compact"/>
        <w:numPr>
          <w:ilvl w:val="1"/>
          <w:numId w:val="1004"/>
        </w:numPr>
      </w:pPr>
      <w:r>
        <w:t xml:space="preserve">ocena zasadności wystąpienia z pozwem o zapłatę kar umownych vs. odstąpienie od umowy – analiza ryzyka dowodowego i kosztów.</w:t>
      </w:r>
    </w:p>
    <w:p>
      <w:pPr>
        <w:pStyle w:val="Compact"/>
        <w:numPr>
          <w:ilvl w:val="1"/>
          <w:numId w:val="1004"/>
        </w:numPr>
      </w:pPr>
      <w:r>
        <w:t xml:space="preserve">możliwość wnioskowania o zabezpieczenie powództwa (art. 730 i nast. Kodeksu postępowania cywilnego) – czy realne jest zabezpieczenie roszczeń klienta (np. zakaz zbywania lokalu/przeniesienia, ustanowienie służebności na rzecz nabywcy) oraz jakie środki zabezpieczające należy żądać.</w:t>
      </w:r>
    </w:p>
    <w:p>
      <w:pPr>
        <w:pStyle w:val="Compact"/>
        <w:numPr>
          <w:ilvl w:val="1"/>
          <w:numId w:val="1004"/>
        </w:numPr>
      </w:pPr>
      <w:r>
        <w:t xml:space="preserve">ryzyko procesowe związane z umownymi klauzulami przerzucającymi ryzyko (np. skuteczność obrony dewelopera w powołaniu się na „działania podwykonawców”) oraz ewentualne rekomendacje (skierowanie sprawy do UOKiK, Rzecznika Konsumentów, mediacje).</w:t>
      </w:r>
    </w:p>
    <w:bookmarkEnd w:id="15"/>
    <w:bookmarkStart w:id="16" w:name="X99ad22c303571be48bb8b45f682f47b2448a1a3"/>
    <w:p>
      <w:pPr>
        <w:pStyle w:val="Heading2"/>
      </w:pPr>
      <w:r>
        <w:t xml:space="preserve">IV. Wymagane dokumenty i pisma do przygotowania</w:t>
      </w:r>
    </w:p>
    <w:p>
      <w:pPr>
        <w:numPr>
          <w:ilvl w:val="0"/>
          <w:numId w:val="1005"/>
        </w:numPr>
      </w:pPr>
      <w:r>
        <w:t xml:space="preserve">Opinia prawna dla Klienta (detailed memo) – ocena ważności i wykonalności roszczeń, analiza klauzul umownych z uwzględnieniem prawa konsumenta i ustawy deweloperskiej, warianty działania (postępowanie sądowe, mediacja, odstąpienie). (około 8–12 stron).</w:t>
      </w:r>
    </w:p>
    <w:p>
      <w:pPr>
        <w:numPr>
          <w:ilvl w:val="0"/>
          <w:numId w:val="1005"/>
        </w:numPr>
      </w:pPr>
      <w:r>
        <w:t xml:space="preserve">Wezwanie przedsądowe uzupełnione / rozszerzone – wezwanie do zapłaty wszystkich należnych kar umownych i kosztów najmu zastępczego wraz z wezwaniem do konkretnych działań dewelopera (ustalenie terminu przekazania, harmonogram usunięcia opóźnień) z zagrożeniem skierowania sprawy na drogę sądową oraz wnioskiem o zabezpieczenie.</w:t>
      </w:r>
    </w:p>
    <w:p>
      <w:pPr>
        <w:numPr>
          <w:ilvl w:val="0"/>
          <w:numId w:val="1005"/>
        </w:numPr>
      </w:pPr>
      <w:r>
        <w:t xml:space="preserve">Pozew do Sądu Rejonowego (cywilny) o zapłatę kar umownych i odszkodowania uzupełniającego + wniosek o zabezpieczenie powództwa (np. wpis w księdze wieczystej lub zakaz rozporządzania nieruchomością) – należy przygotować kalkulację roszczeń wraz z dowodami i wnioskami dowodowymi (ekspertyzy).</w:t>
      </w:r>
    </w:p>
    <w:p>
      <w:pPr>
        <w:numPr>
          <w:ilvl w:val="0"/>
          <w:numId w:val="1005"/>
        </w:numPr>
      </w:pPr>
      <w:r>
        <w:t xml:space="preserve">Wniosek/wnioski dowodowe i zabezpieczające (wniosek o powołanie biegłego rzeczoznawcy budowlanego, wezwanie do przedstawienia dokumentacji projektowej, umów z podwykonawcami, wykazu zamówień/dostaw).</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2026-10-05T19:14:20Z</dcterms:created>
  <dcterms:modified xsi:type="dcterms:W3CDTF">2026-10-05T19:14:20Z</dcterms:modified>
</cp:coreProperties>
</file>

<file path=docProps/custom.xml><?xml version="1.0" encoding="utf-8"?>
<Properties xmlns="http://schemas.openxmlformats.org/officeDocument/2006/custom-properties" xmlns:vt="http://schemas.openxmlformats.org/officeDocument/2006/docPropsVTypes"/>
</file>