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56-stan-faktyczny-i-dokumenty"/>
    <w:p>
      <w:pPr>
        <w:pStyle w:val="Heading1"/>
      </w:pPr>
      <w:r>
        <w:t xml:space="preserve">Sprawa 056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Compact"/>
        <w:numPr>
          <w:ilvl w:val="0"/>
          <w:numId w:val="1001"/>
        </w:numPr>
      </w:pPr>
      <w:r>
        <w:t xml:space="preserve">Strony sprawy:</w:t>
      </w:r>
    </w:p>
    <w:p>
      <w:pPr>
        <w:pStyle w:val="Compact"/>
        <w:numPr>
          <w:ilvl w:val="1"/>
          <w:numId w:val="1002"/>
        </w:numPr>
      </w:pPr>
      <w:r>
        <w:t xml:space="preserve">Twój Klient: M. K., PESEL ███████████, zam. Otwock, właściciel działki nr ewid. 12/3, obręb 0010, KW OL1O/████████/9, adres nieruchomości: działka rolna z zabudową gospodarczo-mieszkalną, Wiązowna.</w:t>
      </w:r>
    </w:p>
    <w:p>
      <w:pPr>
        <w:pStyle w:val="Compact"/>
        <w:numPr>
          <w:ilvl w:val="1"/>
          <w:numId w:val="1002"/>
        </w:numPr>
      </w:pPr>
      <w:r>
        <w:t xml:space="preserve">Strona przeciwna: A. N., PESEL ███████████, najemczyni części budynku gospodarczego na działce M. K., zam. Józefów. A. N. prowadzi działalność gospodarczą: wynajem maszyn budowlanych (NIP ███-███-██-██).</w:t>
      </w:r>
    </w:p>
    <w:p>
      <w:pPr>
        <w:pStyle w:val="Compact"/>
        <w:numPr>
          <w:ilvl w:val="0"/>
          <w:numId w:val="1001"/>
        </w:numPr>
      </w:pPr>
      <w:r>
        <w:t xml:space="preserve">Dokładne daty zdarzeń, kwoty, numery:</w:t>
      </w:r>
    </w:p>
    <w:p>
      <w:pPr>
        <w:pStyle w:val="Compact"/>
        <w:numPr>
          <w:ilvl w:val="1"/>
          <w:numId w:val="1003"/>
        </w:numPr>
      </w:pPr>
      <w:r>
        <w:t xml:space="preserve">15 marca 2018 r. zawarta umowa najmu lokalu użytkowego nr 2 (stanowiącego część budynku gospodarczego przy ul. Polna 3) pomiędzy M. K. (wynajmujący) a Anną A. N. (najemczyni). Umowa na czas określony 5 lat (do 14 marca 2023 r.), sygn. um. NR/████/██/██. Czynsz: 3 200,00 zł netto miesięcznie (zł. brutto 3 936,00 zł z VAT 23%). Kaucja: 9 600,00 zł (trzykrotność czynszu netto) – paragraf 4 umowy.</w:t>
      </w:r>
    </w:p>
    <w:p>
      <w:pPr>
        <w:pStyle w:val="Compact"/>
        <w:numPr>
          <w:ilvl w:val="1"/>
          <w:numId w:val="1003"/>
        </w:numPr>
      </w:pPr>
      <w:r>
        <w:t xml:space="preserve">1 sierpnia 2021 r. A. N. złożyła w formie pisemnej wniosek o ustanowienie służebności drogi koniecznej do swojej części najmowanej nieruchomości, wskazując przebieg przez działkę sąsiednią nr 12/5 (własność M. K.) i dalej przez część działki nr 13/1 (własność Skarbu Państwa, zarządzana przez Gminę Wiązowna).</w:t>
      </w:r>
    </w:p>
    <w:p>
      <w:pPr>
        <w:pStyle w:val="Compact"/>
        <w:numPr>
          <w:ilvl w:val="1"/>
          <w:numId w:val="1003"/>
        </w:numPr>
      </w:pPr>
      <w:r>
        <w:t xml:space="preserve">10 sierpnia 2021 r. M. K. odpisał pismem odmownym (wewnętrzna korespondencja) wskazującą, że najemca ma zapewniony dostęp do drogi publicznej przez istniejącą drogę dojazdową i że ustanowienie służebności w proponowanym przebiegu uniemożliwi mu korzystanie z pozostałej części działki gospodarczej. Pismo oznaczone: ODP/████/██/██.</w:t>
      </w:r>
    </w:p>
    <w:p>
      <w:pPr>
        <w:pStyle w:val="Compact"/>
        <w:numPr>
          <w:ilvl w:val="1"/>
          <w:numId w:val="1003"/>
        </w:numPr>
      </w:pPr>
      <w:r>
        <w:t xml:space="preserve">5 października 2021 r. A. N. wystąpiła do Gmina W. o zgodę na przebieg tymczasowego wjazdu przez część działki gminnej nr 13/1; Gmina wyraziła zgodę na czas nieokreślony na podstawie umowy użyczenia (umowa użyczenia nr UZ/████/██/██) – bez ustanowienia służebności gruntowej.</w:t>
      </w:r>
    </w:p>
    <w:p>
      <w:pPr>
        <w:pStyle w:val="Compact"/>
        <w:numPr>
          <w:ilvl w:val="1"/>
          <w:numId w:val="1003"/>
        </w:numPr>
      </w:pPr>
      <w:r>
        <w:t xml:space="preserve">12 czerwca 2023 r. M. K. wypowiedział umowę najmu z zachowaniem 3-miesięcznego terminu (par. 8 umowy) z powodu zaległości czynszowych A. N. za okres od 1 stycznia do 31 maja 2023 r. w łącznej kwocie 15 680,00 zł brutto (5 miesięcy po 3 136,00 zł brutto; kwoty wynikające z faktur VAT nr FV/████/██–05 wystawionych przez Wynajmującego). Wypowiedzenie z dnia 12.06.2023 r., sygn. WYP/████/██/██.</w:t>
      </w:r>
    </w:p>
    <w:p>
      <w:pPr>
        <w:pStyle w:val="Compact"/>
        <w:numPr>
          <w:ilvl w:val="1"/>
          <w:numId w:val="1003"/>
        </w:numPr>
      </w:pPr>
      <w:r>
        <w:t xml:space="preserve">A. N. nie opuściła lokalu po upływie terminu wypowiedzenia; 20 października 2023 r. M. K. skierował do sądu rejonowego wniosek o wydanie lokalu (sygn. akt I Nsm ███/██) oraz jednocześnie wniosek o ustanowienie służebności drogi koniecznej w trybie art. 145 Kodeksu cywilnego z uwagi na brak dostępu części działki najemczyni do drogi publicznej po wypowiedzeniu najmu i zagrożeniu naruszeniem jego praw do korzystania z gruntu.</w:t>
      </w:r>
    </w:p>
    <w:p>
      <w:pPr>
        <w:pStyle w:val="Compact"/>
        <w:numPr>
          <w:ilvl w:val="1"/>
          <w:numId w:val="1003"/>
        </w:numPr>
      </w:pPr>
      <w:r>
        <w:t xml:space="preserve">15 listopada 2023 r. A. N. wniosła przeciwskazanie oraz złożyła odrębny pozew o ustalenie istnienia służebności drogi koniecznej w stałym przebiegu przez działkę nr 12/5 i 13/1, domagając się zasiedzenia prawa drogi na rzecz swojej części działki – sygn. akt I C ████/██. W pozwie wskazała, że korzystała z drogi w takim przebiegu nieprzerwanie od 2019 r. i że korzystanie było jawne i ciągłe.</w:t>
      </w:r>
    </w:p>
    <w:p>
      <w:pPr>
        <w:pStyle w:val="Compact"/>
        <w:numPr>
          <w:ilvl w:val="1"/>
          <w:numId w:val="1003"/>
        </w:numPr>
      </w:pPr>
      <w:r>
        <w:t xml:space="preserve">3 lutego 2024 r. w toku posiedzenia sądowego obie strony złożyły wnioski dowodowe: M. K. – o przesłuchanie świadków (sąsiedzi: J. M. i E. P.) oraz o przeprowadzenie opinii biegłego geodety odnośnie do trasy drogi i jej wpływu na korzystanie z działki; A. N. – o przeprowadzenie opinii biegłego sądowego w zakresie ruchu pojazdów i konieczności dostępu do drogi publicznej dla prowadzonej działalności gospodarczej. Sąd wyznaczył biegłego geodetę (postanowienie z 27.03.2024 r., sygn. akt I Nsm ███/██).</w:t>
      </w:r>
    </w:p>
    <w:p>
      <w:pPr>
        <w:pStyle w:val="Compact"/>
        <w:numPr>
          <w:ilvl w:val="1"/>
          <w:numId w:val="1003"/>
        </w:numPr>
      </w:pPr>
      <w:r>
        <w:t xml:space="preserve">10 czerwca 2024 r. biegły geodeta złożył opinię częściową wskazującą dwa możliwe przebiegi drogi: wariant A (krótszy, przecina ogród i ogranicza dostęp do składowania drewna na działce M. K.; szerokość drogi 3,5 m), wariant B (dłuższy, przebiega wzdłuż istniejącej drogi dojazdowej na nieruchomości, wymaga budowy nasypu na ok. 12 m i zajęcie części działki 0,024 ha; szerokość drogi 4,0 m). Opinia biegłego datowana 10.06.2024 r., znak opinii BG/████/██/██.</w:t>
      </w:r>
    </w:p>
    <w:p>
      <w:pPr>
        <w:pStyle w:val="Compact"/>
        <w:numPr>
          <w:ilvl w:val="1"/>
          <w:numId w:val="1003"/>
        </w:numPr>
      </w:pPr>
      <w:r>
        <w:t xml:space="preserve">22 lipca 2024 r. Sąd odroczył rozpoznanie wniosku o ustanowienie służebności do czasu uzupełnienia opinii biegłego w kwestii kosztów budowy obu wariantów i wpływu na wartość nieruchomości (postanowienie z 22.07.2024 r.).</w:t>
      </w:r>
    </w:p>
    <w:p>
      <w:pPr>
        <w:pStyle w:val="Compact"/>
        <w:numPr>
          <w:ilvl w:val="0"/>
          <w:numId w:val="1001"/>
        </w:numPr>
      </w:pPr>
      <w:r>
        <w:t xml:space="preserve">Przedmiot sprawy:</w:t>
      </w:r>
    </w:p>
    <w:p>
      <w:pPr>
        <w:pStyle w:val="Compact"/>
        <w:numPr>
          <w:ilvl w:val="1"/>
          <w:numId w:val="1004"/>
        </w:numPr>
      </w:pPr>
      <w:r>
        <w:t xml:space="preserve">W przedmiocie: ustanowienie służebności drogi koniecznej na część nieruchomości M. K. (dz. nr 12/3 oraz 12/5) na rzecz części działki zajmowanej przez Panią A. N. (najemczyni), ewentualne rozliczenia kosztów urządzenia drogi oraz określenie przebiegu i zakresu służebności (szerokość, trwałość, obowiązki w zakresie utrzymania).</w:t>
      </w:r>
    </w:p>
    <w:p>
      <w:pPr>
        <w:pStyle w:val="Compact"/>
        <w:numPr>
          <w:ilvl w:val="0"/>
          <w:numId w:val="1001"/>
        </w:numPr>
      </w:pPr>
      <w:r>
        <w:t xml:space="preserve">Treść kluczowych postanowień umowy najmu (wybrane):</w:t>
      </w:r>
    </w:p>
    <w:p>
      <w:pPr>
        <w:pStyle w:val="Compact"/>
        <w:numPr>
          <w:ilvl w:val="1"/>
          <w:numId w:val="1005"/>
        </w:numPr>
      </w:pPr>
      <w:r>
        <w:t xml:space="preserve">Par. 2 ust. 1 um. NR/████/██/██: „Przedmiotem najmu jest lokal użytkowy nr 2 o pow. 68,4 m2, położony na działce nr 12/3, szczegółowo opisany w załączniku nr 1 do umowy.”</w:t>
      </w:r>
    </w:p>
    <w:p>
      <w:pPr>
        <w:pStyle w:val="Compact"/>
        <w:numPr>
          <w:ilvl w:val="1"/>
          <w:numId w:val="1005"/>
        </w:numPr>
      </w:pPr>
      <w:r>
        <w:t xml:space="preserve">Par. 3 ust. 2: „A. N. ma prawo korzystać z istniejącej drogi dojazdowej do drogi publicznej, przebiegającej po działce nr 12/5. Wynajmujący oświadcza, że najemca ma zapewniony dostęp umożliwiający prowadzenie działalności gospodarczej.”</w:t>
      </w:r>
    </w:p>
    <w:p>
      <w:pPr>
        <w:pStyle w:val="Compact"/>
        <w:numPr>
          <w:ilvl w:val="1"/>
          <w:numId w:val="1005"/>
        </w:numPr>
      </w:pPr>
      <w:r>
        <w:t xml:space="preserve">Par. 9 ust. 1: „Wszelkie spory wynikające z umowy będą rozstrzygane przed Sądem Rejonowym w Otwocku.”</w:t>
      </w:r>
    </w:p>
    <w:p>
      <w:pPr>
        <w:pStyle w:val="Compact"/>
        <w:numPr>
          <w:ilvl w:val="0"/>
          <w:numId w:val="1001"/>
        </w:numPr>
      </w:pPr>
      <w:r>
        <w:t xml:space="preserve">Chronologia konfliktu i dotychczasowe działania stron:</w:t>
      </w:r>
    </w:p>
    <w:p>
      <w:pPr>
        <w:pStyle w:val="Compact"/>
        <w:numPr>
          <w:ilvl w:val="1"/>
          <w:numId w:val="1006"/>
        </w:numPr>
      </w:pPr>
      <w:r>
        <w:t xml:space="preserve">2019–2021: A. N. korzystała z istniejącej drogi dojazdowej, sporadycznie przejeżdżając cięższymi maszynami, bez zgłoszenia szkód.</w:t>
      </w:r>
    </w:p>
    <w:p>
      <w:pPr>
        <w:pStyle w:val="Compact"/>
        <w:numPr>
          <w:ilvl w:val="1"/>
          <w:numId w:val="1006"/>
        </w:numPr>
      </w:pPr>
      <w:r>
        <w:t xml:space="preserve">2021: Spór o przebieg drogi po pojawieniu się konieczności częstszych wjazdów ciężkich maszyn; wniosek o ustanowienie służebności przez Panią A. N. (1.08.2021) i odmowa M. K. (10.08.2021).</w:t>
      </w:r>
    </w:p>
    <w:p>
      <w:pPr>
        <w:pStyle w:val="Compact"/>
        <w:numPr>
          <w:ilvl w:val="1"/>
          <w:numId w:val="1006"/>
        </w:numPr>
      </w:pPr>
      <w:r>
        <w:t xml:space="preserve">2021–2023: Korzystanie na podstawie porozumienia użyczenia z Gminą (dot. działki 13/1).</w:t>
      </w:r>
    </w:p>
    <w:p>
      <w:pPr>
        <w:pStyle w:val="Compact"/>
        <w:numPr>
          <w:ilvl w:val="1"/>
          <w:numId w:val="1006"/>
        </w:numPr>
      </w:pPr>
      <w:r>
        <w:t xml:space="preserve">2023: Wypowiedzenie umowy przez M. K. z powodu zaległości czynszowych; spór sądowy o wydanie lokalu i o ustanowienie służebności.</w:t>
      </w:r>
    </w:p>
    <w:p>
      <w:pPr>
        <w:pStyle w:val="Compact"/>
        <w:numPr>
          <w:ilvl w:val="1"/>
          <w:numId w:val="1006"/>
        </w:numPr>
      </w:pPr>
      <w:r>
        <w:t xml:space="preserve">2024: Postępowania sądowe równoległe; opinia biegłego geodety (10.06.2024); wnioski o uzupełnienie opinii.</w:t>
      </w:r>
    </w:p>
    <w:p>
      <w:pPr>
        <w:pStyle w:val="Compact"/>
        <w:numPr>
          <w:ilvl w:val="0"/>
          <w:numId w:val="1001"/>
        </w:numPr>
      </w:pPr>
      <w:r>
        <w:t xml:space="preserve">Stanowisko strony przeciwnej (A. N.):</w:t>
      </w:r>
    </w:p>
    <w:p>
      <w:pPr>
        <w:pStyle w:val="Compact"/>
        <w:numPr>
          <w:ilvl w:val="1"/>
          <w:numId w:val="1007"/>
        </w:numPr>
      </w:pPr>
      <w:r>
        <w:t xml:space="preserve">Twierdzi, że ma prawo do ustanowienia służebności drogi koniecznej na podstawie art. 145 i 1451 Kodeksu cywilnego, wskazując, iż jej część działki od 2019 r. nie miała innego dostępu do drogi publicznej poza proponowanym przebiegiem oraz że korzystanie z drogi było jawne, ciągłe i konieczne dla prowadzenia działalności gospodarczej; domaga się także orzeczenia obowiązku zniesienia ewentualnych przeszkód i rozliczenia kosztów urządzenia drogi proporcjonalnie.</w:t>
      </w:r>
    </w:p>
    <w:p>
      <w:pPr>
        <w:pStyle w:val="Compact"/>
        <w:numPr>
          <w:ilvl w:val="1"/>
          <w:numId w:val="1007"/>
        </w:numPr>
      </w:pPr>
      <w:r>
        <w:t xml:space="preserve">W pozwie podnosi argument zasiedzenia drogi jako ograniczonego prawa rzeczowego (art. 172 Kodeksu cywilnego) oraz wskazuje na domniemanie służebności drogi koniecznej w razie braku innej drogi do nieruchomości.</w:t>
      </w:r>
    </w:p>
    <w:p>
      <w:pPr>
        <w:pStyle w:val="Compact"/>
        <w:numPr>
          <w:ilvl w:val="0"/>
          <w:numId w:val="1001"/>
        </w:numPr>
      </w:pPr>
      <w:r>
        <w:t xml:space="preserve">Stanowisko M. K. (Twój Klient):</w:t>
      </w:r>
    </w:p>
    <w:p>
      <w:pPr>
        <w:pStyle w:val="Compact"/>
        <w:numPr>
          <w:ilvl w:val="1"/>
          <w:numId w:val="1008"/>
        </w:numPr>
      </w:pPr>
      <w:r>
        <w:t xml:space="preserve">Twierdzi, że ustanowienie służebności w wariancie A znacznie ograniczy jego korzystanie z działki i obniży wartość nieruchomości; wskazuje, że najemca miała zagwarantowany dostęp podczas trwania najmu (par. 3 ust. 2 umowy) i że żądanie ustanowienia służebności po wypowiedzeniu umowy jest nadużyciem.</w:t>
      </w:r>
    </w:p>
    <w:p>
      <w:pPr>
        <w:pStyle w:val="Compact"/>
        <w:numPr>
          <w:ilvl w:val="1"/>
          <w:numId w:val="1008"/>
        </w:numPr>
      </w:pPr>
      <w:r>
        <w:t xml:space="preserve">Podnosi, że istnieje możliwość ustanowienia drogi w wariancie B, ale to wiąże się z koniecznością odszkodowania i partycypacji w kosztach (koszt nasypu według wstępnej wyceny biegłego: 38 400,00 zł netto). Kwestionuje także termin zasiedzenia i twierdzi, że korzystanie było nieciągłe lub odbywało się z jego zgody.</w:t>
      </w:r>
    </w:p>
    <w:p>
      <w:pPr>
        <w:pStyle w:val="Compact"/>
        <w:numPr>
          <w:ilvl w:val="0"/>
          <w:numId w:val="1001"/>
        </w:numPr>
      </w:pPr>
      <w:r>
        <w:t xml:space="preserve">Cel klienta:</w:t>
      </w:r>
    </w:p>
    <w:p>
      <w:pPr>
        <w:pStyle w:val="Compact"/>
        <w:numPr>
          <w:ilvl w:val="1"/>
          <w:numId w:val="1009"/>
        </w:numPr>
      </w:pPr>
      <w:r>
        <w:t xml:space="preserve">Uzyskać rozstrzygnięcie sądowe minimalizujące jego obciążenia finansowe przy ewentualnym ustanowieniu służebności (preferowany wariant B lub odmowa ustanowienia służebności) oraz zabezpieczyć roszczenia z tytułu zaległego czynszu (15 680,00 zł brutto) i kosztów procesu.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6da9b1779162d6e439f16f761073cb03c35c4ae"/>
    <w:p>
      <w:pPr>
        <w:pStyle w:val="Heading3"/>
      </w:pPr>
      <w:r>
        <w:t xml:space="preserve">Załącznik nr 1 – Umowa najmu nr NR/████/██/██ z dnia 15 marca 2018 r.</w:t>
      </w:r>
    </w:p>
    <w:p>
      <w:pPr>
        <w:pStyle w:val="FirstParagraph"/>
      </w:pPr>
      <w:r>
        <w:t xml:space="preserve">Umowa najmu zawarta w dniu 15 marca 2018 r. pomiędzy:</w:t>
      </w:r>
      <w:r>
        <w:t xml:space="preserve"> </w:t>
      </w:r>
      <w:r>
        <w:t xml:space="preserve">- Wynajmującym: M. K., PESEL ███████████, zam. Otwock, legitymującym się dowodem osobistym WA███████,</w:t>
      </w:r>
      <w:r>
        <w:t xml:space="preserve"> </w:t>
      </w:r>
      <w:r>
        <w:t xml:space="preserve">a</w:t>
      </w:r>
      <w:r>
        <w:t xml:space="preserve"> </w:t>
      </w:r>
      <w:r>
        <w:t xml:space="preserve">- Najemcą: A. N., PESEL ███████████, zam. Józefów, prowadzącą działalność pod NIP ███-███-██-██.</w:t>
      </w:r>
    </w:p>
    <w:p>
      <w:pPr>
        <w:pStyle w:val="BodyText"/>
      </w:pPr>
      <w:r>
        <w:t xml:space="preserve">Przedmiot umowy:</w:t>
      </w:r>
      <w:r>
        <w:t xml:space="preserve"> </w:t>
      </w:r>
      <w:r>
        <w:t xml:space="preserve">1. Wynajmujący oddaje Najemcy do używania lokal użytkowy nr 2 o pow. 68,4 m2, usytuowany na działce nr 12/3, obręb 0010, opisany w KW OL1O/████████/9, stanowiący część budynku gospodarczego.</w:t>
      </w:r>
    </w:p>
    <w:p>
      <w:pPr>
        <w:pStyle w:val="BodyText"/>
      </w:pPr>
      <w:r>
        <w:t xml:space="preserve">Czas trwania:</w:t>
      </w:r>
      <w:r>
        <w:t xml:space="preserve"> </w:t>
      </w:r>
      <w:r>
        <w:t xml:space="preserve">2. Najem na czas określony od 15.03.2018 r. do 14.03.2023 r.</w:t>
      </w:r>
    </w:p>
    <w:p>
      <w:pPr>
        <w:pStyle w:val="BodyText"/>
      </w:pPr>
      <w:r>
        <w:t xml:space="preserve">Czynsz i opłaty:</w:t>
      </w:r>
      <w:r>
        <w:t xml:space="preserve"> </w:t>
      </w:r>
      <w:r>
        <w:t xml:space="preserve">3. Czynsz miesięczny: 3 200,00 zł netto (słownie: trzy tysiące dwieście złotych netto). Podatek VAT 23% – 736,00 zł. Czynsz brutto: 3 936,00 zł.</w:t>
      </w:r>
      <w:r>
        <w:t xml:space="preserve"> </w:t>
      </w:r>
      <w:r>
        <w:t xml:space="preserve">4. Kaucja zabezpieczająca: 9 600,00 zł, którą Wynajmujący potwierdza przyjąć w dniu 15.03.2018 r.</w:t>
      </w:r>
    </w:p>
    <w:p>
      <w:pPr>
        <w:pStyle w:val="BodyText"/>
      </w:pPr>
      <w:r>
        <w:t xml:space="preserve">Dostęp do drogi:</w:t>
      </w:r>
      <w:r>
        <w:t xml:space="preserve"> </w:t>
      </w:r>
      <w:r>
        <w:t xml:space="preserve">5. Par. 3 ust. 2: „A. N. ma prawo korzystać z istniejącej drogi dojazdowej do drogi publicznej, przebiegającej po działce nr 12/5. Wynajmujący oświadcza, że najemca ma zapewniony dostęp umożliwiający prowadzenie działalności gospodarczej.”</w:t>
      </w:r>
    </w:p>
    <w:p>
      <w:pPr>
        <w:pStyle w:val="BodyText"/>
      </w:pPr>
      <w:r>
        <w:t xml:space="preserve">Wypowiedzenie:</w:t>
      </w:r>
      <w:r>
        <w:t xml:space="preserve"> </w:t>
      </w:r>
      <w:r>
        <w:t xml:space="preserve">6. Par. 8 ust. 1: „W przypadku zalegania z zapłatą czynszu za okres przekraczający 3 pełne miesiące, Wynajmujący ma prawo wypowiedzieć umowę z zachowaniem 3-miesięcznego okresu wypowiedzenia.”</w:t>
      </w:r>
    </w:p>
    <w:p>
      <w:pPr>
        <w:pStyle w:val="BodyText"/>
      </w:pPr>
      <w:r>
        <w:t xml:space="preserve">Postanowienia końcowe:</w:t>
      </w:r>
      <w:r>
        <w:t xml:space="preserve"> </w:t>
      </w:r>
      <w:r>
        <w:t xml:space="preserve">7. Par. 9 ust. 1: „Wszelkie spory wynikłe z niniejszej umowy będą rozstrzygane przez Sąd Rejonowy w Otwocku.”</w:t>
      </w:r>
    </w:p>
    <w:p>
      <w:pPr>
        <w:pStyle w:val="BodyText"/>
      </w:pPr>
      <w:r>
        <w:t xml:space="preserve">Podpisy:</w:t>
      </w:r>
      <w:r>
        <w:t xml:space="preserve"> </w:t>
      </w:r>
      <w:r>
        <w:t xml:space="preserve">Wynajmujący: ……………………………………. M. K.</w:t>
      </w:r>
      <w:r>
        <w:t xml:space="preserve"> </w:t>
      </w:r>
      <w:r>
        <w:t xml:space="preserve">A. N.: …………………………………………. A. N.</w:t>
      </w:r>
      <w:r>
        <w:t xml:space="preserve"> </w:t>
      </w:r>
      <w:r>
        <w:t xml:space="preserve">Data: 15.03.2018 r.</w:t>
      </w:r>
    </w:p>
    <w:bookmarkEnd w:id="12"/>
    <w:bookmarkStart w:id="13" w:name="X4297a4e1e6d08937bd8de8c2e5056222c58a5a0"/>
    <w:p>
      <w:pPr>
        <w:pStyle w:val="Heading3"/>
      </w:pPr>
      <w:r>
        <w:t xml:space="preserve">Załącznik nr 2 – Opinia biegłego geodety BG/████/██/██ z dnia 10 czerwca 2024 r.</w:t>
      </w:r>
    </w:p>
    <w:p>
      <w:pPr>
        <w:pStyle w:val="FirstParagraph"/>
      </w:pPr>
      <w:r>
        <w:t xml:space="preserve">Opinia biegłego geodety sporządzona na zlecenie Sądu Rejonowego w Otwocku w sprawie wniosku o ustanowienie służebności drogi koniecznej (sygn. I Nsm ███/██).</w:t>
      </w:r>
    </w:p>
    <w:p>
      <w:pPr>
        <w:pStyle w:val="BodyText"/>
      </w:pPr>
      <w:r>
        <w:t xml:space="preserve">Zlecenie: Sąd Rejonowy w Otwocku, sygn. I Nsm ███/██, postanowienie z dnia 27.03.2024 r.</w:t>
      </w:r>
    </w:p>
    <w:p>
      <w:pPr>
        <w:pStyle w:val="BodyText"/>
      </w:pPr>
      <w:r>
        <w:t xml:space="preserve">Przedmiot opinii:</w:t>
      </w:r>
      <w:r>
        <w:t xml:space="preserve"> </w:t>
      </w:r>
      <w:r>
        <w:t xml:space="preserve">Określenie możliwych przebiegów drogi koniecznej łączącej nieruchomość beneficjenta (część działki 12/3 zajmowana przez najemczynię) z drogą publiczną oraz ocena wpływu każdego wariantu na funkcjonowanie i wartość nieruchomości właściciela (M. Kowalczyk).</w:t>
      </w:r>
    </w:p>
    <w:p>
      <w:pPr>
        <w:pStyle w:val="BodyText"/>
      </w:pPr>
      <w:r>
        <w:t xml:space="preserve">Ustalenia faktyczne:</w:t>
      </w:r>
      <w:r>
        <w:t xml:space="preserve"> </w:t>
      </w:r>
      <w:r>
        <w:t xml:space="preserve">- Działka nr 12/3 (powierzchnia 0,314 ha) – część zabudowana budynkiem gospodarczym.</w:t>
      </w:r>
      <w:r>
        <w:t xml:space="preserve"> </w:t>
      </w:r>
      <w:r>
        <w:t xml:space="preserve">- Działka nr 12/5 (powierzchnia 0,412 ha) – teren przyległy, droga dojazdowa o szer. 2,5 m wykorzystywana dotychczas w ograniczonym zakresie.</w:t>
      </w:r>
      <w:r>
        <w:t xml:space="preserve"> </w:t>
      </w:r>
      <w:r>
        <w:t xml:space="preserve">- Działka nr 13/1 – własność Gmina W. (użyczenie dotyczy jedynie fragmentu).</w:t>
      </w:r>
    </w:p>
    <w:p>
      <w:pPr>
        <w:pStyle w:val="BodyText"/>
      </w:pPr>
      <w:r>
        <w:t xml:space="preserve">Warianty przebiegu drogi:</w:t>
      </w:r>
      <w:r>
        <w:t xml:space="preserve"> </w:t>
      </w:r>
      <w:r>
        <w:t xml:space="preserve">- Wariant A: Trasa najkrótsza, prowadząca przez ogród M. K., dł. 28 m, szer. proponowana 3,5 m. Wymusza przesunięcie składowiska drewna i likwidację nasadzeń ozdobnych. Szacunkowy koszt urządzenia nawierzchni i umocnienia skarp: 12 800,00 zł netto. Przewidywany spadek wartości nieruchomości właściciela: ok. 4,5% przyjętej wartości rynkowej.</w:t>
      </w:r>
      <w:r>
        <w:t xml:space="preserve"> </w:t>
      </w:r>
      <w:r>
        <w:t xml:space="preserve">- Wariant B: Trasa dłuższa, wykorzystująca istniejącą drogę dojazdową i pas przy granicy działki, dł. 46 m, szer. 4,0 m. Wymaga wykonania nasypu o długości 12 m oraz wypiętrzenia terenu, zajęcie części nieruchomości o pow. 0,024 ha. Szacunkowy koszt urządzenia: 38 400,00 zł netto. Przewidywany spadek wartości: ok. 2,0% przyjętej wartości rynkowej.</w:t>
      </w:r>
    </w:p>
    <w:p>
      <w:pPr>
        <w:pStyle w:val="BodyText"/>
      </w:pPr>
      <w:r>
        <w:t xml:space="preserve">Wnioski:</w:t>
      </w:r>
      <w:r>
        <w:t xml:space="preserve"> </w:t>
      </w:r>
      <w:r>
        <w:t xml:space="preserve">1. Oba warianty są technicznie wykonalne. Wariant A powoduje większe ograniczenia w korzystaniu z części działki przez właściciela, natomiast wariant B pociąga za sobą większe koszty robót ziemnych i konieczność zajęcia powierzchni 0,024 ha.</w:t>
      </w:r>
      <w:r>
        <w:t xml:space="preserve"> </w:t>
      </w:r>
      <w:r>
        <w:t xml:space="preserve">2. Sugerowana szerokość drogi użytkowej: min. 3,5 m dla dojazdu samochodów osobowych i małych dostawczych; przy cięższym sprzęcie budowlanym zalecana szer. 4,0 m.</w:t>
      </w:r>
      <w:r>
        <w:t xml:space="preserve"> </w:t>
      </w:r>
      <w:r>
        <w:t xml:space="preserve">3. Nie stwierdzono trwałych przeszkód uniemożliwiających ustanowienie służebności w żadnym z wariantów.</w:t>
      </w:r>
    </w:p>
    <w:p>
      <w:pPr>
        <w:pStyle w:val="BodyText"/>
      </w:pPr>
      <w:r>
        <w:t xml:space="preserve">Podpisano:</w:t>
      </w:r>
      <w:r>
        <w:t xml:space="preserve"> </w:t>
      </w:r>
      <w:r>
        <w:t xml:space="preserve">Biegły geodeta: P. Z.</w:t>
      </w:r>
      <w:r>
        <w:t xml:space="preserve"> </w:t>
      </w:r>
      <w:r>
        <w:t xml:space="preserve">Certyfikat biegłego: BG-OL/████/███</w:t>
      </w:r>
      <w:r>
        <w:t xml:space="preserve"> </w:t>
      </w:r>
      <w:r>
        <w:t xml:space="preserve">Data: 10.06.2024 r.</w:t>
      </w:r>
    </w:p>
    <w:p>
      <w:pPr>
        <w:pStyle w:val="BodyText"/>
      </w:pPr>
      <w:r>
        <w:t xml:space="preserve">Załączniki do opinii: mapa sytuacyjna, schematy wariantów A i B, kosztorys wstępny (kwoty netto podane powyżej).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Compact"/>
        <w:numPr>
          <w:ilvl w:val="0"/>
          <w:numId w:val="1010"/>
        </w:numPr>
      </w:pPr>
      <w:r>
        <w:t xml:space="preserve">Ocena prawna podstaw do ustanowienia służebności drogi koniecznej na rzecz części nieruchomości zajmowanej przez Panią A. N. — analiza uprawnień na podstawie art. 145 i nast. Kodeksu cywilnego, w szczególności przesłanek „braku innej dogodnej drogi” oraz „konieczności”, z uwzględnieniem treści umowy najmu (par. 3 ust. 2). Czy postanowienie umowy potwierdzające dostęp wyłącza możliwość żądania służebności po wygaśnięciu stosunku najmu?</w:t>
      </w:r>
    </w:p>
    <w:p>
      <w:pPr>
        <w:pStyle w:val="Compact"/>
        <w:numPr>
          <w:ilvl w:val="1"/>
          <w:numId w:val="1011"/>
        </w:numPr>
      </w:pPr>
      <w:r>
        <w:t xml:space="preserve">Przywołać: art. 145–146 KC, art. 1451–1452 KC (służebność drogi koniecznej), orzecznictwo SN w sprawach dotyczących interpretacji „braku innej drogi” i wpływu umów najmu.</w:t>
      </w:r>
    </w:p>
    <w:p>
      <w:pPr>
        <w:pStyle w:val="Compact"/>
        <w:numPr>
          <w:ilvl w:val="0"/>
          <w:numId w:val="1010"/>
        </w:numPr>
      </w:pPr>
      <w:r>
        <w:t xml:space="preserve">Ocena skuteczności roszczenia o ustanowienie służebności w odniesieniu do terminu i przedawnienia lub innych przesłanek procesowych — czy żądanie A. N. jest przedawnione lub obarczone wadą formalną (np. brak legitymacji), biorąc pod uwagę daty korzystania z drogi (2019–2021) i wniosek z 1.08.2021 r.</w:t>
      </w:r>
    </w:p>
    <w:p>
      <w:pPr>
        <w:pStyle w:val="Compact"/>
        <w:numPr>
          <w:ilvl w:val="1"/>
          <w:numId w:val="1012"/>
        </w:numPr>
      </w:pPr>
      <w:r>
        <w:t xml:space="preserve">Przywołać: art. 118–125 KC (term.—przedawnienie), art. 189 i nast. k.p.c. (dowody), odpowiednie orzecznictwo.</w:t>
      </w:r>
    </w:p>
    <w:p>
      <w:pPr>
        <w:pStyle w:val="Compact"/>
        <w:numPr>
          <w:ilvl w:val="0"/>
          <w:numId w:val="1010"/>
        </w:numPr>
      </w:pPr>
      <w:r>
        <w:t xml:space="preserve">Analiza wpływu treści par. 3 ust. 2 umowy najmu („A. N. ma prawo korzystać z istniejącej drogi… Wynajmujący oświadcza, że najemca ma zapewniony dostęp…”) na możliwość zasądzenia służebności po ustaniu stosunku najmu — czy zapis ten jest jedynie obietnicą kontraktową, czy może stanowić przeciwwskazanie do żądania ograniczonego prawa rzeczowego; ocena, czy istnieje domniemanie powstania służebności z umowy.</w:t>
      </w:r>
    </w:p>
    <w:p>
      <w:pPr>
        <w:pStyle w:val="Compact"/>
        <w:numPr>
          <w:ilvl w:val="1"/>
          <w:numId w:val="1013"/>
        </w:numPr>
      </w:pPr>
      <w:r>
        <w:t xml:space="preserve">Przywołać: art. 232, 243 KC (czynności prawne), zasady wykładni oświadczeń woli, orzecznictwo.</w:t>
      </w:r>
    </w:p>
    <w:p>
      <w:pPr>
        <w:pStyle w:val="Compact"/>
        <w:numPr>
          <w:ilvl w:val="0"/>
          <w:numId w:val="1010"/>
        </w:numPr>
      </w:pPr>
      <w:r>
        <w:t xml:space="preserve">Kwestie dowodowe — analiza wartości dowodowej opinii biegłego geodety BG/████/██/██ (w tym rozbieżności co do wpływu wariantów na wartość nieruchomości i kosztów), możliwość wniesienia wniosków dowodowych o uzupełnienie opinii (np. kosztorys wykonawczy, opinia rzeczoznawcy ds. majątkowych) oraz strategia dowodowa dotycząca ciągłości, jawności i celowości korzystania przez Panią A. N..</w:t>
      </w:r>
    </w:p>
    <w:p>
      <w:pPr>
        <w:pStyle w:val="Compact"/>
        <w:numPr>
          <w:ilvl w:val="1"/>
          <w:numId w:val="1014"/>
        </w:numPr>
      </w:pPr>
      <w:r>
        <w:t xml:space="preserve">Przywołać: art. 228–233 k.p.c. (ocena dowodów), art. 278 k.p.c. (wnioski dowodowe).</w:t>
      </w:r>
    </w:p>
    <w:p>
      <w:pPr>
        <w:pStyle w:val="Compact"/>
        <w:numPr>
          <w:ilvl w:val="0"/>
          <w:numId w:val="1010"/>
        </w:numPr>
      </w:pPr>
      <w:r>
        <w:t xml:space="preserve">Wyliczenie kwotowe roszczeń możliwych do zgłoszenia przez M. K. w związku z ewentualnym ustanowieniem służebności (np. żądanie odszkodowania za zajęcie części nieruchomości, partycypację w kosztach robót) oraz równocześnie zabezpieczenie roszczenia z tytułu zaległych czynszów 15 680,00 zł brutto — jak należy sformułować żądanie i jakie dowody finansowe załączyć (faktury FV/████/██–05).</w:t>
      </w:r>
    </w:p>
    <w:p>
      <w:pPr>
        <w:pStyle w:val="Compact"/>
        <w:numPr>
          <w:ilvl w:val="1"/>
          <w:numId w:val="1015"/>
        </w:numPr>
      </w:pPr>
      <w:r>
        <w:t xml:space="preserve">Przywołać: art. 292, 293 KC (odpłatność przy służebności), art. 354 KC (odszkodowanie), stosowne przepisy podatkowe dotyczące VAT przy rozliczaniu kosztów robót budowlanych.</w:t>
      </w:r>
    </w:p>
    <w:p>
      <w:pPr>
        <w:pStyle w:val="Compact"/>
        <w:numPr>
          <w:ilvl w:val="0"/>
          <w:numId w:val="1010"/>
        </w:numPr>
      </w:pPr>
      <w:r>
        <w:t xml:space="preserve">Ryzyka procesowe i rekomendowana strategia — ocena ryzyk związanych z żądaniem wariantu A vs B (koszty, wpływ na wartość nieruchomości, komplikacje administracyjne wobec Gminy), możliwość zabezpieczenia roszczeń przez wniosek o zabezpieczenie (art. 730–755 k.p.c.) oraz argumenty procesowe do wykorzystania w sądzie (m.in. nadużycie prawa, treść umowy najmu, porozumienia z Gminą).</w:t>
      </w:r>
    </w:p>
    <w:p>
      <w:pPr>
        <w:pStyle w:val="Compact"/>
        <w:numPr>
          <w:ilvl w:val="1"/>
          <w:numId w:val="1016"/>
        </w:numPr>
      </w:pPr>
      <w:r>
        <w:t xml:space="preserve">Przywołać: art. 5 KC (zasady współżycia społecznego), art. 369 k.p.c. (środki zabezpieczenia), orzecznictwo dotyczące zabezpieczenia ustanowienia służebności.</w:t>
      </w:r>
    </w:p>
    <w:p>
      <w:pPr>
        <w:pStyle w:val="FirstParagraph"/>
      </w:pPr>
      <w:r>
        <w:t xml:space="preserve">Wskazać, które przepisy i źródła orzecznicze wymagają aktualnego sprawdzenia (np. orzeczenia SN z lat 2015–2024 dotyczące służebności drogi koniecznej).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Compact"/>
        <w:numPr>
          <w:ilvl w:val="0"/>
          <w:numId w:val="1017"/>
        </w:numPr>
      </w:pPr>
      <w:r>
        <w:t xml:space="preserve">Opinia prawna dla Klienta (Pana Marka M. K.) pt. „Możliwość i skutki ustanowienia służebności drogi koniecznej — analiza wariantów A i B oraz rekomendowana linia procesowa” (ok. 6–8 stron), zawierająca ryzyka finansowe i procesowe oraz proponowany plan działań.</w:t>
      </w:r>
    </w:p>
    <w:p>
      <w:pPr>
        <w:pStyle w:val="Compact"/>
        <w:numPr>
          <w:ilvl w:val="0"/>
          <w:numId w:val="1017"/>
        </w:numPr>
      </w:pPr>
      <w:r>
        <w:t xml:space="preserve">Wezwanie przedsądowe do Pani Anny A. N. z żądaniem natychmiastowego opuszczenia lokalu i uregulowania zaległości czynszowych w kwocie 15 680,00 zł brutto (wraz z wezwaniem do zaniechania działań prowadzących do żądania ustanowienia służebności w wariancie A) — termin 14 dni na spełnienie świadczenia, ostrzeżenie o skierowaniu powództwa i żądaniu zabezpieczenia.</w:t>
      </w:r>
    </w:p>
    <w:p>
      <w:pPr>
        <w:pStyle w:val="Compact"/>
        <w:numPr>
          <w:ilvl w:val="0"/>
          <w:numId w:val="1017"/>
        </w:numPr>
      </w:pPr>
      <w:r>
        <w:t xml:space="preserve">Pozew do Sądu Rejonowego w Otwocku w imieniu Pana Marka M. K. o:</w:t>
      </w:r>
    </w:p>
    <w:p>
      <w:pPr>
        <w:pStyle w:val="Compact"/>
        <w:numPr>
          <w:ilvl w:val="1"/>
          <w:numId w:val="1018"/>
        </w:numPr>
      </w:pPr>
      <w:r>
        <w:t xml:space="preserve">odmowę ustanowienia służebności w wariancie A albo ewentualnie ograniczenie uprawnień Najemcy poprzez ustanowienie służebności w wariancie B z zasądzeniem od A. N. i współuczestników kosztów urządzenia drogi (wyszczególnienie kwot: 38 400,00 zł netto + VAT) oraz odszkodowania za spadek wartości;</w:t>
      </w:r>
    </w:p>
    <w:p>
      <w:pPr>
        <w:pStyle w:val="Compact"/>
        <w:numPr>
          <w:ilvl w:val="1"/>
          <w:numId w:val="1018"/>
        </w:numPr>
      </w:pPr>
      <w:r>
        <w:t xml:space="preserve">zasądzenie zaległego czynszu 15 680,00 zł brutto wraz z odsetkami ustawowymi za opóźnienie od dnia wymagalności;</w:t>
      </w:r>
    </w:p>
    <w:p>
      <w:pPr>
        <w:pStyle w:val="Compact"/>
        <w:numPr>
          <w:ilvl w:val="1"/>
          <w:numId w:val="1018"/>
        </w:numPr>
      </w:pPr>
      <w:r>
        <w:t xml:space="preserve">wniosek o zabezpieczenie roszczenia przez ustanowienie zakazu wykonywania prac związanych z urządzeniem drogi w wariancie A do czasu rozstrzygnięcia sprawy.</w:t>
      </w:r>
    </w:p>
    <w:p>
      <w:pPr>
        <w:pStyle w:val="Compact"/>
        <w:numPr>
          <w:ilvl w:val="0"/>
          <w:numId w:val="1017"/>
        </w:numPr>
      </w:pPr>
      <w:r>
        <w:t xml:space="preserve">Wniosek do Sądu o uzupełnienie/poszerzenie opinii biegłego geodety oraz ewentualne wyznaczenie rzeczoznawcy majątkowego i eksperta budowlanego (kosztorysanta) — celem precyzyjnego ustalenia kosztów i wpływu na wartość nieruchomości.</w:t>
      </w:r>
    </w:p>
    <w:p>
      <w:pPr>
        <w:pStyle w:val="FirstParagraph"/>
      </w:pPr>
      <w:r>
        <w:t xml:space="preserve">Uwagi końcowe:</w:t>
      </w:r>
      <w:r>
        <w:t xml:space="preserve"> </w:t>
      </w:r>
      <w:r>
        <w:t xml:space="preserve">- Wszystkie dokumenty źródłowe (umowa NR/████/██/██, faktury FV/████/██–05, pismo ODP/████/██/██, umowa użyczenia Gminy UZ/████/██/██, opinia biegłego BG/████/██/██, postanowienia sądu) są dostępne w aktach i należy je dołączyć do przygotowywanych pism procesowych.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2026-10-05T19:14:17Z</dcterms:created>
  <dcterms:modified xsi:type="dcterms:W3CDTF">2026-10-05T19:14:17Z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