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40" w:name="sprawa-069-rozwiązanie-casebox"/>
    <w:p>
      <w:pPr>
        <w:pStyle w:val="Heading1"/>
      </w:pPr>
      <w:r>
        <w:t xml:space="preserve">Sprawa 069 — rozwiązanie CaseBox</w:t>
      </w:r>
    </w:p>
    <w:bookmarkStart w:id="9" w:name="część-ii.-rozwiązanie-case-project-api"/>
    <w:p>
      <w:pPr>
        <w:pStyle w:val="Heading2"/>
      </w:pPr>
      <w:r>
        <w:t xml:space="preserve">CZĘŚĆ II. ROZWIĄZANIE (Case Project API)</w:t>
      </w:r>
    </w:p>
    <w:p>
      <w:pPr>
        <w:pStyle w:val="FirstParagraph"/>
      </w:pPr>
      <w:r>
        <w:t xml:space="preserve">Szanowni Państwo,</w:t>
      </w:r>
    </w:p>
    <w:p>
      <w:pPr>
        <w:pStyle w:val="BodyText"/>
      </w:pPr>
      <w:r>
        <w:t xml:space="preserve">Przedstawiamy kompleksową analizę prawną sprawy M. N. przeciwko deweloperowi Deweloper D. sp. z o.o., wraz z oceną roszczeń, ryzyk i szans oraz propozycjami dalszych kroków i projektami pism.</w:t>
      </w:r>
    </w:p>
    <w:bookmarkEnd w:id="9"/>
    <w:bookmarkStart w:id="10" w:name="podsumowanie-sprawy"/>
    <w:p>
      <w:pPr>
        <w:pStyle w:val="Heading2"/>
      </w:pPr>
      <w:r>
        <w:t xml:space="preserve">Podsumowanie sprawy</w:t>
      </w:r>
    </w:p>
    <w:p>
      <w:pPr>
        <w:pStyle w:val="FirstParagraph"/>
      </w:pPr>
      <w:r>
        <w:t xml:space="preserve">M. N., nabywca lokalu mieszkalnego, zawarł 10 marca 2023 roku umowę deweloperską nr UD/████/███ z Deweloper D. sp. z o.o., dotyczącą zakupu lokalu A-12 o pierwotnej powierzchni 54,00 m² za cenę 560 000,00 zł [Źródło 1]. Deweloper, pismem z 12 maja 2024 roku (nr INF/████/███), jednostronnie poinformował o zmniejszeniu powierzchni lokalu do 52,30 m² (o 1,70 m²), co stanowi 3,15% pierwotnej powierzchni, oraz o jednoczesnym wzroście ceny jednostkowej z 10 370,37 zł/m² do 11 220,00 zł/m². Te zmiany miały skutkować nową ceną całkowitą w wysokości 586 986,00 zł i koniecznością dopłaty przez Pana M. N.a kwoty 26 986,00 zł [Źródło 1]. Deweloper powołał się na § 9 ust. 3 umowy, który przewidywał możliwość korekty powierzchni w granicach ±5% i adekwatnej korekty ceny według ceny jednostkowej z dnia zawarcia umowy, z 14-dniowym terminem na sprzeciw nabywcy, którego brak miał oznaczać akceptację [Źródło 1]. Klient zgłosił sprzeciw i reklamację, żądając utrzymania pierwotnej ceny lub proporcjonalnego obniżenia ceny o wartość zmniejszonej powierzchni przy zachowaniu pierwotnej ceny jednostkowej [Źródło 1]. Deweloper odrzucił sprzeciw, zażądał dopłaty w terminie 14 dni, a po jej braku, pismem z 20 czerwca 2024 roku (nr ROZ/████/███), rozwiązał umowę i zatrzymał wszystkie wpłacone przez Klienta kwoty (łącznie 76 000,00 zł) jako kary umowne/odszkodowanie, powołując się na § 13 ust. 2 umowy [Źródło 1]. Deweloper podjął już działania zmierzające do zbycia lokalu innemu nabywcy [Źródło 1]. Celem Klienta jest ustalenie bezskuteczności jednostronnej zmiany ceny przez dewelopera lub korekty ceny proporcjonalnie do zmiany powierzchni przy zachowaniu pierwotnej ceny jednostkowej, przywrócenie umowy i wydanie lokalu lub alternatywnie odszkodowanie za bezprawne rozwiązanie umowy i wynikłe z tego szkody [Źródło 1].</w:t>
      </w:r>
    </w:p>
    <w:bookmarkEnd w:id="10"/>
    <w:bookmarkStart w:id="11" w:name="kluczowe-dane"/>
    <w:p>
      <w:pPr>
        <w:pStyle w:val="Heading2"/>
      </w:pPr>
      <w:r>
        <w:t xml:space="preserve">Kluczowe dane</w:t>
      </w:r>
    </w:p>
    <w:p>
      <w:pPr>
        <w:pStyle w:val="Compact"/>
        <w:numPr>
          <w:ilvl w:val="0"/>
          <w:numId w:val="1001"/>
        </w:numPr>
      </w:pPr>
      <w:r>
        <w:t xml:space="preserve">Klient: M. N. (nabywca lokalu mieszkalnego) [Źródło 1].</w:t>
      </w:r>
    </w:p>
    <w:p>
      <w:pPr>
        <w:pStyle w:val="Compact"/>
        <w:numPr>
          <w:ilvl w:val="0"/>
          <w:numId w:val="1001"/>
        </w:numPr>
      </w:pPr>
      <w:r>
        <w:t xml:space="preserve">Strona przeciwna: Deweloper D. sp. z o.o. (deweloper) [Źródło 1].</w:t>
      </w:r>
    </w:p>
    <w:p>
      <w:pPr>
        <w:pStyle w:val="Compact"/>
        <w:numPr>
          <w:ilvl w:val="0"/>
          <w:numId w:val="1001"/>
        </w:numPr>
      </w:pPr>
      <w:r>
        <w:t xml:space="preserve">Data zawarcia umowy deweloperskiej: 10 marca 2023 r. [Źródło 1].</w:t>
      </w:r>
    </w:p>
    <w:p>
      <w:pPr>
        <w:pStyle w:val="Compact"/>
        <w:numPr>
          <w:ilvl w:val="0"/>
          <w:numId w:val="1001"/>
        </w:numPr>
      </w:pPr>
      <w:r>
        <w:t xml:space="preserve">Numer umowy deweloperskiej: UD/████/███ [Źródło 1].</w:t>
      </w:r>
    </w:p>
    <w:p>
      <w:pPr>
        <w:pStyle w:val="Compact"/>
        <w:numPr>
          <w:ilvl w:val="0"/>
          <w:numId w:val="1001"/>
        </w:numPr>
      </w:pPr>
      <w:r>
        <w:t xml:space="preserve">Pierwotna powierzchnia lokalu: 54,00 m² [Źródło 1].</w:t>
      </w:r>
    </w:p>
    <w:p>
      <w:pPr>
        <w:pStyle w:val="Compact"/>
        <w:numPr>
          <w:ilvl w:val="0"/>
          <w:numId w:val="1001"/>
        </w:numPr>
      </w:pPr>
      <w:r>
        <w:t xml:space="preserve">Pierwotna cena całkowita lokalu: 560 000,00 zł [Źródło 1].</w:t>
      </w:r>
    </w:p>
    <w:p>
      <w:pPr>
        <w:pStyle w:val="Compact"/>
        <w:numPr>
          <w:ilvl w:val="0"/>
          <w:numId w:val="1001"/>
        </w:numPr>
      </w:pPr>
      <w:r>
        <w:t xml:space="preserve">Pierwotna cena jednostkowa lokalu: 10 370,37 zł/m² [Źródło 1].</w:t>
      </w:r>
    </w:p>
    <w:p>
      <w:pPr>
        <w:pStyle w:val="Compact"/>
        <w:numPr>
          <w:ilvl w:val="0"/>
          <w:numId w:val="1001"/>
        </w:numPr>
      </w:pPr>
      <w:r>
        <w:t xml:space="preserve">Data pisma dewelopera o korekcie parametrów lokalu: 12 maja 2024 r. (nr INF/████/███) [Źródło 1].</w:t>
      </w:r>
    </w:p>
    <w:p>
      <w:pPr>
        <w:pStyle w:val="Compact"/>
        <w:numPr>
          <w:ilvl w:val="0"/>
          <w:numId w:val="1001"/>
        </w:numPr>
      </w:pPr>
      <w:r>
        <w:t xml:space="preserve">Zmieniona powierzchnia lokalu (wskazana przez dewelopera): 52,30 m² [Źródło 1].</w:t>
      </w:r>
    </w:p>
    <w:p>
      <w:pPr>
        <w:pStyle w:val="Compact"/>
        <w:numPr>
          <w:ilvl w:val="0"/>
          <w:numId w:val="1001"/>
        </w:numPr>
      </w:pPr>
      <w:r>
        <w:t xml:space="preserve">Zmniejszenie powierzchni: 1,70 m² (-3,15%) [Źródło 1].</w:t>
      </w:r>
    </w:p>
    <w:p>
      <w:pPr>
        <w:pStyle w:val="Compact"/>
        <w:numPr>
          <w:ilvl w:val="0"/>
          <w:numId w:val="1001"/>
        </w:numPr>
      </w:pPr>
      <w:r>
        <w:t xml:space="preserve">Nowa cena jednostkowa (wskazana przez dewelopera): 11 220,00 zł/m² [Źródło 1].</w:t>
      </w:r>
    </w:p>
    <w:p>
      <w:pPr>
        <w:pStyle w:val="Compact"/>
        <w:numPr>
          <w:ilvl w:val="0"/>
          <w:numId w:val="1001"/>
        </w:numPr>
      </w:pPr>
      <w:r>
        <w:t xml:space="preserve">Nowa cena całkowita (wskazana przez dewelopera): 586 986,00 zł [Źródło 1].</w:t>
      </w:r>
    </w:p>
    <w:p>
      <w:pPr>
        <w:pStyle w:val="Compact"/>
        <w:numPr>
          <w:ilvl w:val="0"/>
          <w:numId w:val="1001"/>
        </w:numPr>
      </w:pPr>
      <w:r>
        <w:t xml:space="preserve">Żądana dopłata przez dewelopera: 26 986,00 zł [Źródło 1].</w:t>
      </w:r>
    </w:p>
    <w:p>
      <w:pPr>
        <w:pStyle w:val="Compact"/>
        <w:numPr>
          <w:ilvl w:val="0"/>
          <w:numId w:val="1001"/>
        </w:numPr>
      </w:pPr>
      <w:r>
        <w:t xml:space="preserve">Termin na sprzeciw nabywcy (zgodnie z § 9 ust. 3 umowy): 14 dni [Źródło 1].</w:t>
      </w:r>
    </w:p>
    <w:p>
      <w:pPr>
        <w:pStyle w:val="Compact"/>
        <w:numPr>
          <w:ilvl w:val="0"/>
          <w:numId w:val="1001"/>
        </w:numPr>
      </w:pPr>
      <w:r>
        <w:t xml:space="preserve">Data pisma dewelopera o rozwiązaniu umowy: 20 czerwca 2024 r. (nr ROZ/████/███) [Źródło 1].</w:t>
      </w:r>
    </w:p>
    <w:p>
      <w:pPr>
        <w:pStyle w:val="Compact"/>
        <w:numPr>
          <w:ilvl w:val="0"/>
          <w:numId w:val="1001"/>
        </w:numPr>
      </w:pPr>
      <w:r>
        <w:t xml:space="preserve">Wpłacone przez Klienta kwoty zatrzymane przez dewelopera: łącznie 76 000,00 zł [Źródło 1].</w:t>
      </w:r>
    </w:p>
    <w:bookmarkEnd w:id="11"/>
    <w:bookmarkStart w:id="12" w:name="żądania-i-twierdzenia-stron"/>
    <w:p>
      <w:pPr>
        <w:pStyle w:val="Heading2"/>
      </w:pPr>
      <w:r>
        <w:t xml:space="preserve">Żądania i twierdzenia stron</w:t>
      </w:r>
    </w:p>
    <w:p>
      <w:pPr>
        <w:pStyle w:val="FirstParagraph"/>
      </w:pPr>
      <w:r>
        <w:t xml:space="preserve">Klient, M. N., dąży do:</w:t>
      </w:r>
      <w:r>
        <w:t xml:space="preserve"> </w:t>
      </w:r>
      <w:r>
        <w:t xml:space="preserve">1. Ustalenia bezskuteczności jednostronnej zmiany ceny przez dewelopera lub korekty ceny proporcjonalnie do zmiany powierzchni przy zachowaniu pierwotnej ceny jednostkowej [Źródło 1].</w:t>
      </w:r>
      <w:r>
        <w:t xml:space="preserve"> </w:t>
      </w:r>
      <w:r>
        <w:t xml:space="preserve">2. Przywrócenia umowy, wydania lokalu lub alternatywnie odszkodowania za bezprawne rozwiązanie umowy i wynikłe z tego szkody [Źródło 1].</w:t>
      </w:r>
    </w:p>
    <w:p>
      <w:pPr>
        <w:pStyle w:val="BodyText"/>
      </w:pPr>
      <w:r>
        <w:t xml:space="preserve">Deweloper, Deweloper D. sp. z o.o., twierdzi, że:</w:t>
      </w:r>
      <w:r>
        <w:t xml:space="preserve"> </w:t>
      </w:r>
      <w:r>
        <w:t xml:space="preserve">1. Miał prawo do korekty powierzchni w granicach ±5% i odpowiedniej korekty ceny według ceny jednostkowej z dnia zawarcia umowy, zgodnie z § 9 ust. 3 umowy deweloperskiej [Źródło 1].</w:t>
      </w:r>
      <w:r>
        <w:t xml:space="preserve"> </w:t>
      </w:r>
      <w:r>
        <w:t xml:space="preserve">2. Brak sprzeciwu w terminie 14 dni oznaczał akceptację zmiany [Źródło 1].</w:t>
      </w:r>
      <w:r>
        <w:t xml:space="preserve"> </w:t>
      </w:r>
      <w:r>
        <w:t xml:space="preserve">3. Rozwiązanie umowy i zatrzymanie wpłat jako kary umownej/odszkodowania było dopuszczalne na podstawie § 13 ust. 2 umowy, w związku z brakiem dopłaty przez Klienta [Źródło 1].</w:t>
      </w:r>
    </w:p>
    <w:bookmarkEnd w:id="12"/>
    <w:bookmarkStart w:id="17" w:name="ocena-prawna"/>
    <w:p>
      <w:pPr>
        <w:pStyle w:val="Heading2"/>
      </w:pPr>
      <w:r>
        <w:t xml:space="preserve">Ocena prawna</w:t>
      </w:r>
    </w:p>
    <w:bookmarkStart w:id="16" w:name="X6f9ffccabb40f20278921bdb05ae9f3bd586b0c"/>
    <w:p>
      <w:pPr>
        <w:pStyle w:val="Heading3"/>
      </w:pPr>
      <w:r>
        <w:t xml:space="preserve">I. Opinia prawna – kwalifikacja prawna stanu faktycznego, ocena ważności/skuteczności kluczowych postanowień umowy i czynności stron, zastosowanie właściwych przepisów</w:t>
      </w:r>
    </w:p>
    <w:bookmarkStart w:id="13" w:name="kwalifikacja-prawna-stanu-faktycznego"/>
    <w:p>
      <w:pPr>
        <w:pStyle w:val="Heading4"/>
      </w:pPr>
      <w:r>
        <w:t xml:space="preserve">1. Kwalifikacja prawna stanu faktycznego</w:t>
      </w:r>
    </w:p>
    <w:p>
      <w:pPr>
        <w:pStyle w:val="FirstParagraph"/>
      </w:pPr>
      <w:r>
        <w:t xml:space="preserve">Stan faktyczny dotyczy sporu wynikającego z umowy deweloperskiej zawartej pomiędzy konsumentem (M. N.) a przedsiębiorcą (Deweloper D. sp. z o.o.). Sprawa obejmuje kwestie związane z jednostronną zmianą istotnych postanowień umowy (powierzchni i ceny lokalu), skutecznością tej zmiany, dopuszczalnością rozwiązania umowy oraz zatrzymaniem wpłaconych przez konsumenta środków. Podstawę prawną stanowią przepisy Kodeksu cywilnego, w szczególności dotyczące zobowiązań, nienależytego wykonania umowy, kar umownych oraz ochrony konsumentów (w tym klauzul abuzywnych).</w:t>
      </w:r>
    </w:p>
    <w:bookmarkEnd w:id="13"/>
    <w:bookmarkStart w:id="14" w:name="X78496f2a827726e2b19839b9b11f520ae3982fa"/>
    <w:p>
      <w:pPr>
        <w:pStyle w:val="Heading4"/>
      </w:pPr>
      <w:r>
        <w:t xml:space="preserve">2. Ocena ważności/skuteczności § 9 ust. 3 umowy deweloperskiej</w:t>
      </w:r>
    </w:p>
    <w:p>
      <w:pPr>
        <w:pStyle w:val="FirstParagraph"/>
      </w:pPr>
      <w:r>
        <w:t xml:space="preserve">Postanowienie § 9 ust. 3 umowy deweloperskiej przewiduje prawo dewelopera do korekty powierzchni w granicach ±5% i</w:t>
      </w:r>
      <w:r>
        <w:t xml:space="preserve"> </w:t>
      </w:r>
      <w:r>
        <w:t xml:space="preserve">“odpowiedniej korekty ceny według ceny jednostkowej z dnia zawarcia umowy”</w:t>
      </w:r>
      <w:r>
        <w:t xml:space="preserve">, z 14-dniowym terminem na sprzeciw nabywcy, którego brak miał oznaczać akceptację [Źródło 1].</w:t>
      </w:r>
    </w:p>
    <w:p>
      <w:pPr>
        <w:numPr>
          <w:ilvl w:val="0"/>
          <w:numId w:val="1002"/>
        </w:numPr>
      </w:pPr>
      <w:r>
        <w:rPr>
          <w:b/>
          <w:bCs/>
        </w:rPr>
        <w:t xml:space="preserve">Zastosowanie właściwych przepisów:</w:t>
      </w:r>
      <w:r>
        <w:t xml:space="preserve"> </w:t>
      </w:r>
      <w:r>
        <w:t xml:space="preserve">Chociaż Ustawa z dnia 16 września 2011 r. o ochronie praw nabywcy lokalu mieszkalnego lub domu jednorodzinnego (ustawa deweloperska) oraz Ustawa o prawach konsumenta nie zostały w pełni przywołane w bloku</w:t>
      </w:r>
      <w:r>
        <w:t xml:space="preserve"> </w:t>
      </w:r>
      <w:r>
        <w:t xml:space="preserve">“Obecny stan prawny”</w:t>
      </w:r>
      <w:r>
        <w:t xml:space="preserve">, ich zasady mają kluczowe znaczenie dla oceny ważności i skuteczności klauzul w umowach deweloperskich z konsumentami. Należy odnieść się także do przepisów Kodeksu cywilnego dotyczących swobody umów (brak art. 353¹ KC w</w:t>
      </w:r>
      <w:r>
        <w:t xml:space="preserve"> </w:t>
      </w:r>
      <w:r>
        <w:t xml:space="preserve">“Obecny stan prawny”</w:t>
      </w:r>
      <w:r>
        <w:t xml:space="preserve">) oraz klauzul abuzywnych (brak art. 385¹-³ KC w</w:t>
      </w:r>
      <w:r>
        <w:t xml:space="preserve"> </w:t>
      </w:r>
      <w:r>
        <w:t xml:space="preserve">“Obecny stan prawny”</w:t>
      </w:r>
      <w:r>
        <w:t xml:space="preserve">).</w:t>
      </w:r>
    </w:p>
    <w:p>
      <w:pPr>
        <w:numPr>
          <w:ilvl w:val="0"/>
          <w:numId w:val="1002"/>
        </w:numPr>
      </w:pPr>
      <w:r>
        <w:rPr>
          <w:b/>
          <w:bCs/>
        </w:rPr>
        <w:t xml:space="preserve">Argumenty za ważnością zapisu (częściowej):</w:t>
      </w:r>
    </w:p>
    <w:p>
      <w:pPr>
        <w:pStyle w:val="Compact"/>
        <w:numPr>
          <w:ilvl w:val="1"/>
          <w:numId w:val="1003"/>
        </w:numPr>
      </w:pPr>
      <w:r>
        <w:rPr>
          <w:b/>
          <w:bCs/>
        </w:rPr>
        <w:t xml:space="preserve">Swoboda umów:</w:t>
      </w:r>
      <w:r>
        <w:t xml:space="preserve"> </w:t>
      </w:r>
      <w:r>
        <w:t xml:space="preserve">W ramach zasad swobody umów, strony mogą ukształtować treść umowy wedle swojego uznania, byleby jej treść lub cel nie sprzeciwiały się właściwości (naturze) stosunku, ustawie ani zasadom współżycia społecznego (brak art. 353¹ KC w</w:t>
      </w:r>
      <w:r>
        <w:t xml:space="preserve"> </w:t>
      </w:r>
      <w:r>
        <w:t xml:space="preserve">“Obecny stan prawny”</w:t>
      </w:r>
      <w:r>
        <w:t xml:space="preserve">). Zastrzeżenie możliwości niewielkiej korekty powierzchni w budownictwie jest praktyką powszechną i często uzasadnioną technicznie.</w:t>
      </w:r>
    </w:p>
    <w:p>
      <w:pPr>
        <w:pStyle w:val="Compact"/>
        <w:numPr>
          <w:ilvl w:val="1"/>
          <w:numId w:val="1003"/>
        </w:numPr>
      </w:pPr>
      <w:r>
        <w:rPr>
          <w:b/>
          <w:bCs/>
        </w:rPr>
        <w:t xml:space="preserve">Korekta powierzchni:</w:t>
      </w:r>
      <w:r>
        <w:t xml:space="preserve"> </w:t>
      </w:r>
      <w:r>
        <w:t xml:space="preserve">Sama możliwość korekty powierzchni w granicach ±5% jest co do zasady dopuszczalna, biorąc pod uwagę charakter robót budowlanych.</w:t>
      </w:r>
    </w:p>
    <w:p>
      <w:pPr>
        <w:numPr>
          <w:ilvl w:val="0"/>
          <w:numId w:val="1002"/>
        </w:numPr>
      </w:pPr>
      <w:r>
        <w:rPr>
          <w:b/>
          <w:bCs/>
        </w:rPr>
        <w:t xml:space="preserve">Argumenty przeciw ważności/skuteczności zapisu (w sposobie zastosowania przez dewelopera – abuzywność):</w:t>
      </w:r>
    </w:p>
    <w:p>
      <w:pPr>
        <w:pStyle w:val="Compact"/>
        <w:numPr>
          <w:ilvl w:val="1"/>
          <w:numId w:val="1004"/>
        </w:numPr>
      </w:pPr>
      <w:r>
        <w:rPr>
          <w:b/>
          <w:bCs/>
        </w:rPr>
        <w:t xml:space="preserve">Naruszenie ceny jednostkowej:</w:t>
      </w:r>
      <w:r>
        <w:t xml:space="preserve"> </w:t>
      </w:r>
      <w:r>
        <w:t xml:space="preserve">Klauzula § 9 ust. 3 wyraźnie mówi o</w:t>
      </w:r>
      <w:r>
        <w:t xml:space="preserve"> </w:t>
      </w:r>
      <w:r>
        <w:t xml:space="preserve">“odpowiedniej korekcie ceny według ceny jednostkowej z dnia zawarcia umowy”</w:t>
      </w:r>
      <w:r>
        <w:t xml:space="preserve"> </w:t>
      </w:r>
      <w:r>
        <w:t xml:space="preserve">[Źródło 1]. Pierwotna cena jednostkowa wynosiła 10 370,37 zł/m² [Źródło 1]. Deweloper zaś jednostronnie zwiększył cenę jednostkową do 11 220,00 zł/m² [Źródło 1], co jest sprzeczne z treścią samego postanowienia. Zatem nawet przy zastosowaniu tej klauzuli, cena całkowita powinna wynieść 52,30 m² * 10 370,37 zł/m² = 542 411,45 zł, a nie 586 986,00 zł. Działanie dewelopera w tym zakresie rażąco narusza interesy konsumenta.</w:t>
      </w:r>
    </w:p>
    <w:p>
      <w:pPr>
        <w:pStyle w:val="Compact"/>
        <w:numPr>
          <w:ilvl w:val="1"/>
          <w:numId w:val="1004"/>
        </w:numPr>
      </w:pPr>
      <w:r>
        <w:rPr>
          <w:b/>
          <w:bCs/>
        </w:rPr>
        <w:t xml:space="preserve">Klauzule abuzywne (niedozwolone postanowienia umowne):</w:t>
      </w:r>
      <w:r>
        <w:t xml:space="preserve"> </w:t>
      </w:r>
      <w:r>
        <w:t xml:space="preserve">Postanowienie umowne, które nie zostało indywidualnie uzgodnione z konsumentem, kształtuje jego prawa i obowiązki w sposób sprzeczny z dobrymi obyczajami, rażąco naruszając jego interesy, jest niewiążące. Klauzula, która umożliwia deweloperowi jednostronną zmianę ceny jednostkowej (lub dokonanie korekty, która faktycznie prowadzi do jej wzrostu, mimo zmniejszenia powierzchni) po zawarciu umowy, może być uznana za niedozwoloną.</w:t>
      </w:r>
    </w:p>
    <w:p>
      <w:pPr>
        <w:pStyle w:val="Compact"/>
        <w:numPr>
          <w:ilvl w:val="1"/>
          <w:numId w:val="1004"/>
        </w:numPr>
      </w:pPr>
      <w:r>
        <w:rPr>
          <w:b/>
          <w:bCs/>
        </w:rPr>
        <w:t xml:space="preserve">Zasada automatycznej akceptacji:</w:t>
      </w:r>
      <w:r>
        <w:t xml:space="preserve"> </w:t>
      </w:r>
      <w:r>
        <w:t xml:space="preserve">Postanowienie, że brak sprzeciwu w ciągu 14 dni oznacza akceptację, może być również uznane za abuzywne, jeśli faktycznie utrudnia konsumentowi dochodzenie jego praw.</w:t>
      </w:r>
    </w:p>
    <w:p>
      <w:pPr>
        <w:pStyle w:val="FirstParagraph"/>
      </w:pPr>
      <w:r>
        <w:rPr>
          <w:b/>
          <w:bCs/>
        </w:rPr>
        <w:t xml:space="preserve">Wniosek:</w:t>
      </w:r>
      <w:r>
        <w:t xml:space="preserve"> </w:t>
      </w:r>
      <w:r>
        <w:t xml:space="preserve">Klauzula § 9 ust. 3 umowy deweloperskiej, w zakresie, w jakim deweloper ją zinterpretował i zastosował, prowadząc do wzrostu ceny jednostkowej i żądania dopłaty przy jednoczesnym zmniejszeniu powierzchni, jest niezgodna z jej literalnym brzmieniem (</w:t>
      </w:r>
      <w:r>
        <w:t xml:space="preserve">“według ceny jednostkowej z dnia zawarcia umowy”</w:t>
      </w:r>
      <w:r>
        <w:t xml:space="preserve">) i jako taka powinna być uznana za bezskuteczną wobec Klienta. Nawet jeśli uznać sam mechanizm korekty powierzchni za dopuszczalny, sposób jej realizacji przez dewelopera jest wadliwy.</w:t>
      </w:r>
    </w:p>
    <w:bookmarkEnd w:id="14"/>
    <w:bookmarkStart w:id="15" w:name="X01c4fd00544c661e42abeccd77145102ce39e8f"/>
    <w:p>
      <w:pPr>
        <w:pStyle w:val="Heading4"/>
      </w:pPr>
      <w:r>
        <w:t xml:space="preserve">3. Ocena ważności/skuteczności rozwiązania umowy i zatrzymania wpłat</w:t>
      </w:r>
    </w:p>
    <w:p>
      <w:pPr>
        <w:pStyle w:val="FirstParagraph"/>
      </w:pPr>
      <w:r>
        <w:t xml:space="preserve">Deweloper rozwiązał umowę z powodu braku dopłaty, a wpłacone 76 000,00 zł zatrzymał jako</w:t>
      </w:r>
      <w:r>
        <w:t xml:space="preserve"> </w:t>
      </w:r>
      <w:r>
        <w:t xml:space="preserve">“kary umowne/odszkodowanie”</w:t>
      </w:r>
      <w:r>
        <w:t xml:space="preserve"> </w:t>
      </w:r>
      <w:r>
        <w:t xml:space="preserve">[Źródło 1].</w:t>
      </w:r>
    </w:p>
    <w:p>
      <w:pPr>
        <w:numPr>
          <w:ilvl w:val="0"/>
          <w:numId w:val="1005"/>
        </w:numPr>
      </w:pPr>
      <w:r>
        <w:rPr>
          <w:b/>
          <w:bCs/>
        </w:rPr>
        <w:t xml:space="preserve">Skuteczność rozwiązania umowy:</w:t>
      </w:r>
      <w:r>
        <w:t xml:space="preserve"> </w:t>
      </w:r>
      <w:r>
        <w:t xml:space="preserve">Jeżeli żądanie dopłaty przez dewelopera było bezpodstawne (co wynika z analizy § 9 ust. 3), to brak zapłaty tej kwoty przez Klienta nie stanowił nienależytego wykonania zobowiązania, ani tym bardziej podstawy do rozwiązania umowy. Rozwiązanie umowy przez dewelopera w takiej sytuacji jest zatem bezskuteczne. Klient nie był w zwłoce, a to deweloper nienależycie wykonał swoje zobowiązanie, próbując jednostronnie i bezpodstawnie narzucić zmianę ceny.</w:t>
      </w:r>
    </w:p>
    <w:p>
      <w:pPr>
        <w:numPr>
          <w:ilvl w:val="0"/>
          <w:numId w:val="1005"/>
        </w:numPr>
      </w:pPr>
      <w:r>
        <w:rPr>
          <w:b/>
          <w:bCs/>
        </w:rPr>
        <w:t xml:space="preserve">Zatrzymanie wpłat jako</w:t>
      </w:r>
      <w:r>
        <w:rPr>
          <w:b/>
          <w:bCs/>
        </w:rPr>
        <w:t xml:space="preserve"> </w:t>
      </w:r>
      <w:r>
        <w:rPr>
          <w:b/>
          <w:bCs/>
        </w:rPr>
        <w:t xml:space="preserve">“kary umownej/odszkodowania”</w:t>
      </w:r>
      <w:r>
        <w:rPr>
          <w:b/>
          <w:bCs/>
        </w:rPr>
        <w:t xml:space="preserve">:</w:t>
      </w:r>
    </w:p>
    <w:p>
      <w:pPr>
        <w:pStyle w:val="Compact"/>
        <w:numPr>
          <w:ilvl w:val="1"/>
          <w:numId w:val="1006"/>
        </w:numPr>
      </w:pPr>
      <w:r>
        <w:rPr>
          <w:b/>
          <w:bCs/>
        </w:rPr>
        <w:t xml:space="preserve">Kara umowna:</w:t>
      </w:r>
      <w:r>
        <w:t xml:space="preserve"> </w:t>
      </w:r>
      <w:r>
        <w:t xml:space="preserve">Zgodnie z utrwalonym orzecznictwem, kara umowna może być zastrzeżona za niewykonanie lub nienależyte wykonanie zobowiązania</w:t>
      </w:r>
      <w:r>
        <w:t xml:space="preserve"> </w:t>
      </w:r>
      <w:r>
        <w:rPr>
          <w:i/>
          <w:iCs/>
        </w:rPr>
        <w:t xml:space="preserve">niepieniężnego</w:t>
      </w:r>
      <w:r>
        <w:t xml:space="preserve">. W wyroku Sądu Okręgowego w Świdnicy z 18 listopada 2014 r., sygn. akt II Ca ███/██, podkreślono, że w postępowaniu należy zbadać</w:t>
      </w:r>
      <w:r>
        <w:t xml:space="preserve"> </w:t>
      </w:r>
      <w:r>
        <w:t xml:space="preserve">“ważność łączącego strony stosunku prawnego”</w:t>
      </w:r>
      <w:r>
        <w:t xml:space="preserve"> </w:t>
      </w:r>
      <w:r>
        <w:t xml:space="preserve">[Źródło 2]. W innym orzeczeniu, Sąd Apelacyjny w Łodzi z 21 czerwca 2019 r., sygn. akt XIII Ga ████/██, zaakceptował stanowisko Sądu Rejonowego o nieważności postanowień regulaminu zastrzegających karę umowną jako sprzecznych z art. 58 § 1 i § 3 k.c., gdy podstawowy obowiązek miał charakter pieniężny, a zastrzeżenie kary umownej pozostawało w sprzeczności z art. 483 § 1 k.c. [Źródło 6]. Roszczenie o zapłatę ceny (lub dopłaty) ma charakter pieniężny. Zatem zastrzeżenie kary umownej za brak dopłaty jest nieważne.</w:t>
      </w:r>
    </w:p>
    <w:p>
      <w:pPr>
        <w:pStyle w:val="Compact"/>
        <w:numPr>
          <w:ilvl w:val="1"/>
          <w:numId w:val="1006"/>
        </w:numPr>
      </w:pPr>
      <w:r>
        <w:rPr>
          <w:b/>
          <w:bCs/>
        </w:rPr>
        <w:t xml:space="preserve">Odszkodowanie:</w:t>
      </w:r>
      <w:r>
        <w:t xml:space="preserve"> </w:t>
      </w:r>
      <w:r>
        <w:t xml:space="preserve">Jeśli deweloper zatrzymuje wpłaty jako odszkodowanie, musiałby wykazać wysokość poniesionej szkody na zasadach ogólnych (brak art. 471 KC w</w:t>
      </w:r>
      <w:r>
        <w:t xml:space="preserve"> </w:t>
      </w:r>
      <w:r>
        <w:t xml:space="preserve">“Obecny stan prawny”</w:t>
      </w:r>
      <w:r>
        <w:t xml:space="preserve">, ale zgodnie z zadaniem muszę się do niego odnieść). Zatrzymanie całej kwoty 76 000,00 zł bez wykazania realnej szkody, a jedynie z powołaniem się na klauzulę umowną, jest rażąco wygórowane i sprzeczne z zasadami ochrony konsumenta. Postanowienie § 13 ust. 2 umowy deweloperskiej, pozwalające deweloperowi na zatrzymanie tak znaczącej kwoty, bez faktycznego wykazania szkody, może być również uznane za niedozwolone postanowienie umowne (abuzywne).</w:t>
      </w:r>
    </w:p>
    <w:p>
      <w:pPr>
        <w:pStyle w:val="FirstParagraph"/>
      </w:pPr>
      <w:r>
        <w:rPr>
          <w:b/>
          <w:bCs/>
        </w:rPr>
        <w:t xml:space="preserve">Wniosek:</w:t>
      </w:r>
      <w:r>
        <w:t xml:space="preserve"> </w:t>
      </w:r>
      <w:r>
        <w:t xml:space="preserve">Rozwiązanie umowy przez dewelopera jest bezskuteczne ze względu na bezpodstawność żądania dopłaty. Postanowienie o zatrzymaniu wpłat jako kary umownej/odszkodowania jest nieważne w świetle art. 483 § 1 k.c. (zob. [6]) oraz z zasad ochrony konsumenta jako klauzula abuzywna. Panu M. N.owi przysługuje prawo do zwrotu wszystkich wpłaconych kwot.</w:t>
      </w:r>
    </w:p>
    <w:bookmarkEnd w:id="15"/>
    <w:bookmarkEnd w:id="16"/>
    <w:bookmarkEnd w:id="17"/>
    <w:bookmarkStart w:id="24" w:name="Xbe5410fce4dc2a615cc76fe9b108b31f04c4b66"/>
    <w:p>
      <w:pPr>
        <w:pStyle w:val="Heading2"/>
      </w:pPr>
      <w:r>
        <w:t xml:space="preserve">Odpowiedź na wszystkie zagadnienia z części III kazusu</w:t>
      </w:r>
    </w:p>
    <w:bookmarkStart w:id="18" w:name="Xa67fc16835453fcdc4f24d42401904e5c03743f"/>
    <w:p>
      <w:pPr>
        <w:pStyle w:val="Heading4"/>
      </w:pPr>
      <w:r>
        <w:t xml:space="preserve">1. Czy postanowienie § 9 ust. 3 umowy deweloperskiej jest ważne i skuteczne wobec nabywcy-konsumenta?</w:t>
      </w:r>
    </w:p>
    <w:p>
      <w:pPr>
        <w:pStyle w:val="FirstParagraph"/>
      </w:pPr>
      <w:r>
        <w:rPr>
          <w:b/>
          <w:bCs/>
        </w:rPr>
        <w:t xml:space="preserve">Rozstrzygnięcie:</w:t>
      </w:r>
      <w:r>
        <w:t xml:space="preserve"> </w:t>
      </w:r>
      <w:r>
        <w:t xml:space="preserve">Postanowienie § 9 ust. 3 umowy deweloperskiej jest ważne w zakresie możliwości korekty powierzchni w granicach ±5%. Natomiast sposób jego zastosowania przez dewelopera, który doprowadził do wzrostu ceny jednostkowej i żądania dopłaty przy zmniejszeniu powierzchni, jest bezskuteczny wobec nabywcy-konsumenta.</w:t>
      </w:r>
    </w:p>
    <w:p>
      <w:pPr>
        <w:pStyle w:val="BodyText"/>
      </w:pPr>
      <w:r>
        <w:rPr>
          <w:b/>
          <w:bCs/>
        </w:rPr>
        <w:t xml:space="preserve">Uzasadnienie:</w:t>
      </w:r>
      <w:r>
        <w:t xml:space="preserve"> </w:t>
      </w:r>
      <w:r>
        <w:t xml:space="preserve">Klauzula wyraźnie stanowi o</w:t>
      </w:r>
      <w:r>
        <w:t xml:space="preserve"> </w:t>
      </w:r>
      <w:r>
        <w:t xml:space="preserve">“odpowiedniej korekcie ceny według ceny jednostkowej z dnia zawarcia umowy”</w:t>
      </w:r>
      <w:r>
        <w:t xml:space="preserve"> </w:t>
      </w:r>
      <w:r>
        <w:t xml:space="preserve">[Źródło 1]. Cena jednostkowa z dnia zawarcia umowy wynosiła 10 370,37 zł/m² [Źródło 1]. Zatem przy zmniejszeniu powierzchni do 52,30 m², cena całkowita powinna wynosić 542 411,45 zł (52,30 m² x 10 370,37 zł/m²). Działanie dewelopera, polegające na zwiększeniu ceny jednostkowej do 11 220,00 zł/m² i żądaniu dopłaty, jest sprzeczne z literalnym brzmieniem klauzuli. Takie działanie rażąco narusza interesy konsumenta i jest sprzeczne z dobrymi obyczajami, przez co może być uznane za niedozwolone postanowienie umowne.</w:t>
      </w:r>
    </w:p>
    <w:bookmarkEnd w:id="18"/>
    <w:bookmarkStart w:id="19" w:name="Xf5d7d2bf48aafb453f33fbd5bcb76b21a312280"/>
    <w:p>
      <w:pPr>
        <w:pStyle w:val="Heading4"/>
      </w:pPr>
      <w:r>
        <w:t xml:space="preserve">2. Jaka powinna być skuteczna metoda korekty ceny i/lub powierzchni? Czy deweloper mógłby żądać dopłaty w wysokości 26 986,00 zł?</w:t>
      </w:r>
    </w:p>
    <w:p>
      <w:pPr>
        <w:pStyle w:val="FirstParagraph"/>
      </w:pPr>
      <w:r>
        <w:rPr>
          <w:b/>
          <w:bCs/>
        </w:rPr>
        <w:t xml:space="preserve">Rozstrzygnięcie:</w:t>
      </w:r>
      <w:r>
        <w:t xml:space="preserve"> </w:t>
      </w:r>
      <w:r>
        <w:t xml:space="preserve">Deweloper nie mógłby żądać dopłaty w wysokości 26 986,00 zł. Skuteczna metoda korekty ceny powinna polegać na jej proporcjonalnym obniżeniu z zachowaniem pierwotnej ceny jednostkowej.</w:t>
      </w:r>
    </w:p>
    <w:p>
      <w:pPr>
        <w:pStyle w:val="BodyText"/>
      </w:pPr>
      <w:r>
        <w:rPr>
          <w:b/>
          <w:bCs/>
        </w:rPr>
        <w:t xml:space="preserve">Uzasadnienie:</w:t>
      </w:r>
      <w:r>
        <w:t xml:space="preserve"> </w:t>
      </w:r>
      <w:r>
        <w:t xml:space="preserve">*</w:t>
      </w:r>
      <w:r>
        <w:t xml:space="preserve"> </w:t>
      </w:r>
      <w:r>
        <w:rPr>
          <w:b/>
          <w:bCs/>
        </w:rPr>
        <w:t xml:space="preserve">Żądanie dopłaty:</w:t>
      </w:r>
      <w:r>
        <w:t xml:space="preserve"> </w:t>
      </w:r>
      <w:r>
        <w:t xml:space="preserve">Żądanie dopłaty 26 986,00 zł jest bezpodstawne, ponieważ wynika z błędnego założenia o wzroście ceny jednostkowej. Zgodnie z § 9 ust. 3 umowy, korekta ceny miała nastąpić</w:t>
      </w:r>
      <w:r>
        <w:t xml:space="preserve"> </w:t>
      </w:r>
      <w:r>
        <w:t xml:space="preserve">“według ceny jednostkowej z dnia zawarcia umowy”</w:t>
      </w:r>
      <w:r>
        <w:t xml:space="preserve">, czyli 10 370,37 zł/m² [Źródło 1].</w:t>
      </w:r>
      <w:r>
        <w:t xml:space="preserve"> </w:t>
      </w:r>
      <w:r>
        <w:t xml:space="preserve">*</w:t>
      </w:r>
      <w:r>
        <w:t xml:space="preserve"> </w:t>
      </w:r>
      <w:r>
        <w:rPr>
          <w:b/>
          <w:bCs/>
        </w:rPr>
        <w:t xml:space="preserve">Alternatywne roszczenia Klienta:</w:t>
      </w:r>
      <w:r>
        <w:t xml:space="preserve"> </w:t>
      </w:r>
      <w:r>
        <w:t xml:space="preserve">*</w:t>
      </w:r>
      <w:r>
        <w:t xml:space="preserve"> </w:t>
      </w:r>
      <w:r>
        <w:rPr>
          <w:b/>
          <w:bCs/>
        </w:rPr>
        <w:t xml:space="preserve">(a) Utrzymanie ceny całkowitej z umowy mimo zmniejszenia powierzchni:</w:t>
      </w:r>
      <w:r>
        <w:t xml:space="preserve"> </w:t>
      </w:r>
      <w:r>
        <w:t xml:space="preserve">Jeżeli Klient zaakceptowałby mniejszą powierzchnię, ale nie chciałby dopłacać, cena całkowita pozostałaby 560 000,00 zł. W takim przypadku efektywna cena jednostkowa wzrosłaby do ok. 10 707,46 zł/m² (560 000,00 zł / 52,30 m²). To jest opcja, która niweluje negatywny skutek dopłaty.</w:t>
      </w:r>
      <w:r>
        <w:t xml:space="preserve"> </w:t>
      </w:r>
      <w:r>
        <w:t xml:space="preserve">*</w:t>
      </w:r>
      <w:r>
        <w:t xml:space="preserve"> </w:t>
      </w:r>
      <w:r>
        <w:rPr>
          <w:b/>
          <w:bCs/>
        </w:rPr>
        <w:t xml:space="preserve">(b) Proporcjonalna korekta ceny przy zachowaniu pierwotnej ceny jednostkowej:</w:t>
      </w:r>
      <w:r>
        <w:t xml:space="preserve"> </w:t>
      </w:r>
      <w:r>
        <w:t xml:space="preserve">Jest to prawnie najbardziej uzasadnione żądanie. Nowa cena całkowita powinna wynosić 52,30 m² * 10 370,37 zł/m² =</w:t>
      </w:r>
      <w:r>
        <w:t xml:space="preserve"> </w:t>
      </w:r>
      <w:r>
        <w:rPr>
          <w:b/>
          <w:bCs/>
        </w:rPr>
        <w:t xml:space="preserve">542 411,45 zł</w:t>
      </w:r>
      <w:r>
        <w:t xml:space="preserve">. W tej opcji Klientowi przysługuje roszczenie o zwrot nadpłaconej kwoty w wysokości 560 000,00 zł (pierwotna cena) - 542 411,45 zł (prawidłowa nowa cena) =</w:t>
      </w:r>
      <w:r>
        <w:t xml:space="preserve"> </w:t>
      </w:r>
      <w:r>
        <w:rPr>
          <w:b/>
          <w:bCs/>
        </w:rPr>
        <w:t xml:space="preserve">17 588,55 zł</w:t>
      </w:r>
      <w:r>
        <w:t xml:space="preserve">.</w:t>
      </w:r>
      <w:r>
        <w:t xml:space="preserve"> </w:t>
      </w:r>
      <w:r>
        <w:t xml:space="preserve">*</w:t>
      </w:r>
      <w:r>
        <w:t xml:space="preserve"> </w:t>
      </w:r>
      <w:r>
        <w:rPr>
          <w:b/>
          <w:bCs/>
        </w:rPr>
        <w:t xml:space="preserve">(c) Ewentualne roszczenia przeciwko deweloperowi z tytułu nienależytego wykonania zobowiązania:</w:t>
      </w:r>
      <w:r>
        <w:t xml:space="preserve"> </w:t>
      </w:r>
      <w:r>
        <w:t xml:space="preserve">Jeśli Klient zdecyduje się dochodzić dalszych roszczeń z uwagi na zmniejszenie powierzchni (np. obniżenie wartości użytkowej lokalu), może żądać odszkodowania za nienależyte wykonanie umowy (brak art. 471 KC w</w:t>
      </w:r>
      <w:r>
        <w:t xml:space="preserve"> </w:t>
      </w:r>
      <w:r>
        <w:t xml:space="preserve">“Obecny stan prawny”</w:t>
      </w:r>
      <w:r>
        <w:t xml:space="preserve">). Roszczenie to wymaga wykazania poniesionej szkody i związku przyczynowego z działaniem dewelopera.</w:t>
      </w:r>
    </w:p>
    <w:bookmarkEnd w:id="19"/>
    <w:bookmarkStart w:id="20" w:name="X3baa739bcd51a4051c28e9482a9902bf6bfa320"/>
    <w:p>
      <w:pPr>
        <w:pStyle w:val="Heading4"/>
      </w:pPr>
      <w:r>
        <w:t xml:space="preserve">3. Czy z prawnego punktu widzenia rozwiązanie umowy przez dewelopera i zatrzymanie wpłat jest dopuszczalne?</w:t>
      </w:r>
    </w:p>
    <w:p>
      <w:pPr>
        <w:pStyle w:val="FirstParagraph"/>
      </w:pPr>
      <w:r>
        <w:rPr>
          <w:b/>
          <w:bCs/>
        </w:rPr>
        <w:t xml:space="preserve">Rozstrzygnięcie:</w:t>
      </w:r>
      <w:r>
        <w:t xml:space="preserve"> </w:t>
      </w:r>
      <w:r>
        <w:t xml:space="preserve">Rozwiązanie umowy przez dewelopera z dnia 20 czerwca 2024 r. i zatrzymanie wpłat jako</w:t>
      </w:r>
      <w:r>
        <w:t xml:space="preserve"> </w:t>
      </w:r>
      <w:r>
        <w:t xml:space="preserve">“kary umownej/odszkodowania”</w:t>
      </w:r>
      <w:r>
        <w:t xml:space="preserve"> </w:t>
      </w:r>
      <w:r>
        <w:t xml:space="preserve">jest bezskuteczne i niedopuszczalne.</w:t>
      </w:r>
    </w:p>
    <w:p>
      <w:pPr>
        <w:pStyle w:val="BodyText"/>
      </w:pPr>
      <w:r>
        <w:rPr>
          <w:b/>
          <w:bCs/>
        </w:rPr>
        <w:t xml:space="preserve">Uzasadnienie:</w:t>
      </w:r>
      <w:r>
        <w:t xml:space="preserve"> </w:t>
      </w:r>
      <w:r>
        <w:t xml:space="preserve">*</w:t>
      </w:r>
      <w:r>
        <w:t xml:space="preserve"> </w:t>
      </w:r>
      <w:r>
        <w:rPr>
          <w:b/>
          <w:bCs/>
        </w:rPr>
        <w:t xml:space="preserve">Bezskuteczność rozwiązania umowy:</w:t>
      </w:r>
      <w:r>
        <w:t xml:space="preserve"> </w:t>
      </w:r>
      <w:r>
        <w:t xml:space="preserve">Podstawą rozwiązania umowy przez dewelopera był brak zapłaty bezpodstawnie żądanej dopłaty [Źródło 1]. Skoro żądanie to było niezgodne z umową, Klient nie był w zwłoce, a deweloperowi nie przysługiwało prawo do rozwiązania umowy z tej przyczyny. Rozwiązanie umowy jest zatem bezskuteczne.</w:t>
      </w:r>
      <w:r>
        <w:t xml:space="preserve"> </w:t>
      </w:r>
      <w:r>
        <w:t xml:space="preserve">*</w:t>
      </w:r>
      <w:r>
        <w:t xml:space="preserve"> </w:t>
      </w:r>
      <w:r>
        <w:rPr>
          <w:b/>
          <w:bCs/>
        </w:rPr>
        <w:t xml:space="preserve">Nieważność kary umownej:</w:t>
      </w:r>
      <w:r>
        <w:t xml:space="preserve"> </w:t>
      </w:r>
      <w:r>
        <w:t xml:space="preserve">Zatrzymanie wpłaconych przez Klienta 76 000,00 zł jako kary umownej za brak dopłaty jest sprzeczne z art. 483 § 1 k.c., który stanowi, że karę umowną można zastrzec jedynie za niewykonanie lub nienależyte wykonanie zobowiązania niepieniężnego (zob. [6]). Roszczenie o zapłatę dopłaty ma charakter pieniężny.</w:t>
      </w:r>
      <w:r>
        <w:t xml:space="preserve"> </w:t>
      </w:r>
      <w:r>
        <w:t xml:space="preserve">*</w:t>
      </w:r>
      <w:r>
        <w:t xml:space="preserve"> </w:t>
      </w:r>
      <w:r>
        <w:rPr>
          <w:b/>
          <w:bCs/>
        </w:rPr>
        <w:t xml:space="preserve">Nienależne świadczenie/odszkodowanie:</w:t>
      </w:r>
      <w:r>
        <w:t xml:space="preserve"> </w:t>
      </w:r>
      <w:r>
        <w:t xml:space="preserve">Zatrzymanie kwoty 76 000,00 zł jako</w:t>
      </w:r>
      <w:r>
        <w:t xml:space="preserve"> </w:t>
      </w:r>
      <w:r>
        <w:t xml:space="preserve">“odszkodowania”</w:t>
      </w:r>
      <w:r>
        <w:t xml:space="preserve"> </w:t>
      </w:r>
      <w:r>
        <w:t xml:space="preserve">bez wykazania faktycznie poniesionej szkody przez dewelopera jest bezprawne. W przypadku bezskutecznego rozwiązania umowy, deweloper ma obowiązek zwrócić wszystkie wpłacone środki jako nienależne świadczenie. Ponadto, postanowienie umożliwiające zatrzymanie wpłat w takiej wysokości w stosunku do konsumenta, w przypadku gdy deweloper sam działa wbrew postanowieniom umowy, jest rażąco abuzywne.</w:t>
      </w:r>
    </w:p>
    <w:bookmarkEnd w:id="20"/>
    <w:bookmarkStart w:id="21" w:name="X07491d5dfd221b6480107b0334d83f160ccb07b"/>
    <w:p>
      <w:pPr>
        <w:pStyle w:val="Heading4"/>
      </w:pPr>
      <w:r>
        <w:t xml:space="preserve">4. Terminy i przedawnienie oraz kwestie dowodowe</w:t>
      </w:r>
    </w:p>
    <w:p>
      <w:pPr>
        <w:pStyle w:val="Compact"/>
        <w:numPr>
          <w:ilvl w:val="0"/>
          <w:numId w:val="1007"/>
        </w:numPr>
      </w:pPr>
      <w:r>
        <w:rPr>
          <w:b/>
          <w:bCs/>
        </w:rPr>
        <w:t xml:space="preserve">Terminy procesowe i przedawnienie:</w:t>
      </w:r>
    </w:p>
    <w:p>
      <w:pPr>
        <w:pStyle w:val="Compact"/>
        <w:numPr>
          <w:ilvl w:val="1"/>
          <w:numId w:val="1008"/>
        </w:numPr>
      </w:pPr>
      <w:r>
        <w:rPr>
          <w:b/>
          <w:bCs/>
        </w:rPr>
        <w:t xml:space="preserve">Roszczenie o wydanie lokalu/wykonanie umowy (jeśli umowa nie została skutecznie rozwiązana):</w:t>
      </w:r>
      <w:r>
        <w:t xml:space="preserve"> </w:t>
      </w:r>
      <w:r>
        <w:t xml:space="preserve">Roszczenia rzeczowe dotyczące nieruchomości, takie jak roszczenie o przeniesienie własności i wydanie lokalu, co do zasady nie ulegają przedawnieniu (zob. art. 223 § 1 k.c. w orzeczeniu [7]). Dopóki Klient pozostaje nabywcą, roszczenie o wydanie lokalu nie przedawnia się.</w:t>
      </w:r>
    </w:p>
    <w:p>
      <w:pPr>
        <w:pStyle w:val="Compact"/>
        <w:numPr>
          <w:ilvl w:val="1"/>
          <w:numId w:val="1008"/>
        </w:numPr>
      </w:pPr>
      <w:r>
        <w:rPr>
          <w:b/>
          <w:bCs/>
        </w:rPr>
        <w:t xml:space="preserve">Roszczenia o zapłatę (zwrot wpłat, odszkodowanie):</w:t>
      </w:r>
      <w:r>
        <w:t xml:space="preserve"> </w:t>
      </w:r>
      <w:r>
        <w:t xml:space="preserve">Są to roszczenia majątkowe.</w:t>
      </w:r>
    </w:p>
    <w:p>
      <w:pPr>
        <w:pStyle w:val="Compact"/>
        <w:numPr>
          <w:ilvl w:val="2"/>
          <w:numId w:val="1009"/>
        </w:numPr>
      </w:pPr>
      <w:r>
        <w:rPr>
          <w:b/>
          <w:bCs/>
        </w:rPr>
        <w:t xml:space="preserve">Zwrot bezprawnie zatrzymanych wpłat (76 000,00 zł) oraz zwrot nadpłaconej kwoty (17 588,55 zł):</w:t>
      </w:r>
      <w:r>
        <w:t xml:space="preserve"> </w:t>
      </w:r>
      <w:r>
        <w:t xml:space="preserve">Roszczenia te są wymagalne od daty bezpodstawnego zatrzymania środków, tj. od 20 czerwca 2024 r. (data rozwiązania umowy) [Źródło 1]. Jako roszczenia konsumenta, przedawniają się z upływem 6 lat. Termin przedawnienia upłynie zatem 20 czerwca 2030 r.</w:t>
      </w:r>
    </w:p>
    <w:p>
      <w:pPr>
        <w:pStyle w:val="Compact"/>
        <w:numPr>
          <w:ilvl w:val="2"/>
          <w:numId w:val="1009"/>
        </w:numPr>
      </w:pPr>
      <w:r>
        <w:rPr>
          <w:b/>
          <w:bCs/>
        </w:rPr>
        <w:t xml:space="preserve">Odszkodowanie z tytułu nienależytego wykonania umowy/bezprawnego rozwiązania:</w:t>
      </w:r>
      <w:r>
        <w:t xml:space="preserve"> </w:t>
      </w:r>
      <w:r>
        <w:t xml:space="preserve">Takie roszczenie również przedawnia się z upływem 6 lat od daty powstania szkody lub dowiedzenia się o niej, tj. od 20 czerwca 2024 r.</w:t>
      </w:r>
    </w:p>
    <w:p>
      <w:pPr>
        <w:pStyle w:val="Compact"/>
        <w:numPr>
          <w:ilvl w:val="0"/>
          <w:numId w:val="1007"/>
        </w:numPr>
      </w:pPr>
      <w:r>
        <w:rPr>
          <w:b/>
          <w:bCs/>
        </w:rPr>
        <w:t xml:space="preserve">Działania zabezpieczające:</w:t>
      </w:r>
    </w:p>
    <w:p>
      <w:pPr>
        <w:pStyle w:val="Compact"/>
        <w:numPr>
          <w:ilvl w:val="1"/>
          <w:numId w:val="1010"/>
        </w:numPr>
      </w:pPr>
      <w:r>
        <w:rPr>
          <w:b/>
          <w:bCs/>
        </w:rPr>
        <w:t xml:space="preserve">Wniosek o zabezpieczenie powództwa:</w:t>
      </w:r>
      <w:r>
        <w:t xml:space="preserve"> </w:t>
      </w:r>
      <w:r>
        <w:t xml:space="preserve">Należy go złożyć wraz z pozwem. Powinien odpowiadać wymaganiom art. 736 KPC. Celem jest uprawdopodobnienie roszczenia i interesu prawnego w zabezpieczeniu (np. ryzyko zbycia lokalu innemu nabywcy). Zalecanym sposobem zabezpieczenia jest wpis ostrzeżenia w księdze wieczystej nieruchomości (dotyczący toczącego się sporu o ustalenie prawa własności lub roszczenia o przeniesienie własności lokalu), co uniemożliwi skuteczne zbycie lokalu innemu podmiotowi.</w:t>
      </w:r>
    </w:p>
    <w:p>
      <w:pPr>
        <w:pStyle w:val="Compact"/>
        <w:numPr>
          <w:ilvl w:val="1"/>
          <w:numId w:val="1010"/>
        </w:numPr>
      </w:pPr>
      <w:r>
        <w:rPr>
          <w:b/>
          <w:bCs/>
        </w:rPr>
        <w:t xml:space="preserve">Zgłoszenie roszczeń do KRS:</w:t>
      </w:r>
      <w:r>
        <w:t xml:space="preserve"> </w:t>
      </w:r>
      <w:r>
        <w:t xml:space="preserve">Nie ma prawnej możliwości zgłaszania indywidualnych roszczeń konsumenckich do Krajowego Rejestru Sądowego. Rejestr służy do ujawniania informacji o przedsiębiorcy, jego statusie prawnym i ewentualnych wierzytelnościach zabezpieczonych (np. hipoteką), nie zaś o toczących się sporach z klientami.</w:t>
      </w:r>
    </w:p>
    <w:p>
      <w:pPr>
        <w:pStyle w:val="Compact"/>
        <w:numPr>
          <w:ilvl w:val="1"/>
          <w:numId w:val="1010"/>
        </w:numPr>
      </w:pPr>
      <w:r>
        <w:rPr>
          <w:b/>
          <w:bCs/>
        </w:rPr>
        <w:t xml:space="preserve">Zawiadomienie o zajęciu lokalu:</w:t>
      </w:r>
      <w:r>
        <w:t xml:space="preserve"> </w:t>
      </w:r>
      <w:r>
        <w:t xml:space="preserve">Tego typu działanie jest właściwe dla postępowania egzekucyjnego, nie dla etapu zabezpieczenia przed procesem.</w:t>
      </w:r>
    </w:p>
    <w:bookmarkEnd w:id="21"/>
    <w:bookmarkStart w:id="22" w:name="kwestie-dowodowe"/>
    <w:p>
      <w:pPr>
        <w:pStyle w:val="Heading4"/>
      </w:pPr>
      <w:r>
        <w:t xml:space="preserve">5. Kwestie dowodowe</w:t>
      </w:r>
    </w:p>
    <w:p>
      <w:pPr>
        <w:pStyle w:val="FirstParagraph"/>
      </w:pPr>
      <w:r>
        <w:t xml:space="preserve">Wykazanie stanowiska Klienta w sądzie będzie wymagało zgromadzenia i przedstawienia następujących dokumentów i dowodów:</w:t>
      </w:r>
    </w:p>
    <w:p>
      <w:pPr>
        <w:pStyle w:val="Compact"/>
        <w:numPr>
          <w:ilvl w:val="0"/>
          <w:numId w:val="1011"/>
        </w:numPr>
      </w:pPr>
      <w:r>
        <w:rPr>
          <w:b/>
          <w:bCs/>
        </w:rPr>
        <w:t xml:space="preserve">Kluczowe dokumenty:</w:t>
      </w:r>
    </w:p>
    <w:p>
      <w:pPr>
        <w:pStyle w:val="Compact"/>
        <w:numPr>
          <w:ilvl w:val="1"/>
          <w:numId w:val="1012"/>
        </w:numPr>
      </w:pPr>
      <w:r>
        <w:rPr>
          <w:b/>
          <w:bCs/>
        </w:rPr>
        <w:t xml:space="preserve">Umowa deweloperska nr UD/████/███ z 10.03.2023 r.:</w:t>
      </w:r>
      <w:r>
        <w:t xml:space="preserve"> </w:t>
      </w:r>
      <w:r>
        <w:t xml:space="preserve">Jako główny dowód na warunki pierwotnej umowy i klauzule sporne [Źródło 1].</w:t>
      </w:r>
    </w:p>
    <w:p>
      <w:pPr>
        <w:pStyle w:val="Compact"/>
        <w:numPr>
          <w:ilvl w:val="1"/>
          <w:numId w:val="1012"/>
        </w:numPr>
      </w:pPr>
      <w:r>
        <w:rPr>
          <w:b/>
          <w:bCs/>
        </w:rPr>
        <w:t xml:space="preserve">Pismo dewelopera nr INF/████/███ z 12.05.2024 r.:</w:t>
      </w:r>
      <w:r>
        <w:t xml:space="preserve"> </w:t>
      </w:r>
      <w:r>
        <w:t xml:space="preserve">Dowód jednostronnej zmiany parametrów lokalu i ceny [Źródło 1].</w:t>
      </w:r>
    </w:p>
    <w:p>
      <w:pPr>
        <w:pStyle w:val="Compact"/>
        <w:numPr>
          <w:ilvl w:val="1"/>
          <w:numId w:val="1012"/>
        </w:numPr>
      </w:pPr>
      <w:r>
        <w:rPr>
          <w:b/>
          <w:bCs/>
        </w:rPr>
        <w:t xml:space="preserve">Pismo dewelopera nr ROZ/████/███ z 20.06.2024 r.:</w:t>
      </w:r>
      <w:r>
        <w:t xml:space="preserve"> </w:t>
      </w:r>
      <w:r>
        <w:t xml:space="preserve">Dowód bezskutecznego rozwiązania umowy i zatrzymania wpłat [Źródło 1*</w:t>
      </w:r>
      <w:r>
        <w:t xml:space="preserve"> </w:t>
      </w:r>
      <w:r>
        <w:rPr>
          <w:b/>
          <w:bCs/>
        </w:rPr>
        <w:t xml:space="preserve">Potwierdzenia wpłat:</w:t>
      </w:r>
      <w:r>
        <w:t xml:space="preserve"> </w:t>
      </w:r>
      <w:r>
        <w:t xml:space="preserve">Dowód wpłaconych deweloperowi kwot (łącznie 76 000,00 zł) [Źródło 1].</w:t>
      </w:r>
    </w:p>
    <w:p>
      <w:pPr>
        <w:pStyle w:val="Compact"/>
        <w:numPr>
          <w:ilvl w:val="1"/>
          <w:numId w:val="1012"/>
        </w:numPr>
      </w:pPr>
      <w:r>
        <w:rPr>
          <w:b/>
          <w:bCs/>
        </w:rPr>
        <w:t xml:space="preserve">Korespondencja e-mail/pismowa:</w:t>
      </w:r>
      <w:r>
        <w:t xml:space="preserve"> </w:t>
      </w:r>
      <w:r>
        <w:t xml:space="preserve">Dokumentująca sprzeciw Klienta i reklamację, a także odmowę dewelopera [Źródło 1]. W orzecznictwie sądów powszechnych (np. Sąd Rejonowy w Olsztynie, sygn. akt I C ███/██ upr, I C ████/██ upr, I C ████/██ upr, I C ████/██ upr, I C ████/██ upr, I C ████/██ upr, I C ████/██ upr) konsekwentnie podkreśla się, że dowody w postaci wydruków lub kserokopii muszą być prawidłowo poświadczone za zgodność z oryginałem, aby miały wartość dowodową i nie budziły wątpliwości co do ich kompletności, autentyczności i doręczenia stronie przeciwnej [Źródło 12, 13, 14, 15, 17, 18, 19].</w:t>
      </w:r>
    </w:p>
    <w:p>
      <w:pPr>
        <w:pStyle w:val="Compact"/>
        <w:numPr>
          <w:ilvl w:val="1"/>
          <w:numId w:val="1012"/>
        </w:numPr>
      </w:pPr>
      <w:r>
        <w:rPr>
          <w:b/>
          <w:bCs/>
        </w:rPr>
        <w:t xml:space="preserve">Dowody odbioru pism:</w:t>
      </w:r>
      <w:r>
        <w:t xml:space="preserve"> </w:t>
      </w:r>
      <w:r>
        <w:t xml:space="preserve">Potwierdzające doręczenie deweloperowi sprzeciwu/reklamacji Klienta.</w:t>
      </w:r>
    </w:p>
    <w:p>
      <w:pPr>
        <w:pStyle w:val="Compact"/>
        <w:numPr>
          <w:ilvl w:val="1"/>
          <w:numId w:val="1012"/>
        </w:numPr>
      </w:pPr>
      <w:r>
        <w:rPr>
          <w:b/>
          <w:bCs/>
        </w:rPr>
        <w:t xml:space="preserve">Wewnętrzne notatki dewelopera (jeśli dostępne):</w:t>
      </w:r>
      <w:r>
        <w:t xml:space="preserve"> </w:t>
      </w:r>
      <w:r>
        <w:t xml:space="preserve">Dokumentujące ofertowanie lokalu innemu nabywcy, co świadczy o faktycznych działaniach dewelopera po rozwiązaniu umowy [Źródło 1]. Dostęp do takich dokumentów może wymagać wniosku o ich wydanie na podstawie art. 232 Kodeksu postępowania cywilnego w zw. z art. 231 KPC (brak w</w:t>
      </w:r>
      <w:r>
        <w:t xml:space="preserve"> </w:t>
      </w:r>
      <w:r>
        <w:t xml:space="preserve">“Obecny stan prawny”</w:t>
      </w:r>
      <w:r>
        <w:t xml:space="preserve">).</w:t>
      </w:r>
    </w:p>
    <w:p>
      <w:pPr>
        <w:pStyle w:val="Compact"/>
        <w:numPr>
          <w:ilvl w:val="0"/>
          <w:numId w:val="1011"/>
        </w:numPr>
      </w:pPr>
      <w:r>
        <w:rPr>
          <w:b/>
          <w:bCs/>
        </w:rPr>
        <w:t xml:space="preserve">Dowody dodatkowe:</w:t>
      </w:r>
    </w:p>
    <w:p>
      <w:pPr>
        <w:pStyle w:val="Compact"/>
        <w:numPr>
          <w:ilvl w:val="1"/>
          <w:numId w:val="1013"/>
        </w:numPr>
      </w:pPr>
      <w:r>
        <w:rPr>
          <w:b/>
          <w:bCs/>
        </w:rPr>
        <w:t xml:space="preserve">Ekspertyza rzeczoznawcy/architektoniczna pomiaru powierzchni:</w:t>
      </w:r>
      <w:r>
        <w:t xml:space="preserve"> </w:t>
      </w:r>
      <w:r>
        <w:t xml:space="preserve">Niezbędna do potwierdzenia rzeczywistej powierzchni lokalu po zakończeniu budowy i weryfikacji zmniejszenia o 1,70 m² [Źródło 1].</w:t>
      </w:r>
    </w:p>
    <w:p>
      <w:pPr>
        <w:pStyle w:val="Compact"/>
        <w:numPr>
          <w:ilvl w:val="1"/>
          <w:numId w:val="1013"/>
        </w:numPr>
      </w:pPr>
      <w:r>
        <w:rPr>
          <w:b/>
          <w:bCs/>
        </w:rPr>
        <w:t xml:space="preserve">Opinia prawna:</w:t>
      </w:r>
      <w:r>
        <w:t xml:space="preserve"> </w:t>
      </w:r>
      <w:r>
        <w:t xml:space="preserve">Choć niniejsza analiza stanowi opinię prawną, w przypadku sporu sądowego może być konieczne przedstawienie szerszej opinii, zwłaszcza w zakresie abuzywności klauzul.</w:t>
      </w:r>
    </w:p>
    <w:p>
      <w:pPr>
        <w:pStyle w:val="Compact"/>
        <w:numPr>
          <w:ilvl w:val="1"/>
          <w:numId w:val="1013"/>
        </w:numPr>
      </w:pPr>
      <w:r>
        <w:rPr>
          <w:b/>
          <w:bCs/>
        </w:rPr>
        <w:t xml:space="preserve">Zeznania świadków:</w:t>
      </w:r>
      <w:r>
        <w:t xml:space="preserve"> </w:t>
      </w:r>
      <w:r>
        <w:t xml:space="preserve">W razie potrzeby, osoby, które miały wiedzę na temat okoliczności zawarcia umowy, działań dewelopera czy korespondencji między stronami.</w:t>
      </w:r>
    </w:p>
    <w:p>
      <w:pPr>
        <w:pStyle w:val="Compact"/>
        <w:numPr>
          <w:ilvl w:val="1"/>
          <w:numId w:val="1013"/>
        </w:numPr>
      </w:pPr>
      <w:r>
        <w:rPr>
          <w:b/>
          <w:bCs/>
        </w:rPr>
        <w:t xml:space="preserve">Dokumentacja budowlana:</w:t>
      </w:r>
      <w:r>
        <w:t xml:space="preserve"> </w:t>
      </w:r>
      <w:r>
        <w:t xml:space="preserve">Projekt budowlany, rzuty, inwentaryzacja powykonawcza, które mogą potwierdzać pierwotną i zmienioną powierzchnię lokalu.</w:t>
      </w:r>
    </w:p>
    <w:bookmarkEnd w:id="22"/>
    <w:bookmarkStart w:id="23" w:name="ryzyka-procesowe-i-strategiczne"/>
    <w:p>
      <w:pPr>
        <w:pStyle w:val="Heading4"/>
      </w:pPr>
      <w:r>
        <w:t xml:space="preserve">6. Ryzyka procesowe i strategiczne</w:t>
      </w:r>
    </w:p>
    <w:p>
      <w:pPr>
        <w:pStyle w:val="Compact"/>
        <w:numPr>
          <w:ilvl w:val="0"/>
          <w:numId w:val="1014"/>
        </w:numPr>
      </w:pPr>
      <w:r>
        <w:rPr>
          <w:b/>
          <w:bCs/>
        </w:rPr>
        <w:t xml:space="preserve">Możliwe scenariusze procesowe:</w:t>
      </w:r>
    </w:p>
    <w:p>
      <w:pPr>
        <w:pStyle w:val="Compact"/>
        <w:numPr>
          <w:ilvl w:val="1"/>
          <w:numId w:val="1015"/>
        </w:numPr>
      </w:pPr>
      <w:r>
        <w:rPr>
          <w:b/>
          <w:bCs/>
        </w:rPr>
        <w:t xml:space="preserve">Pozew o ustalenie bezskuteczności rozwiązania umowy i nakazanie przeniesienia własności lokalu:</w:t>
      </w:r>
      <w:r>
        <w:t xml:space="preserve"> </w:t>
      </w:r>
      <w:r>
        <w:t xml:space="preserve">W przypadku sukcesu, Klient uzyskuje lokal na pierwotnych warunkach (ewentualnie z korektą ceny w dół). Ryzykiem jest czas trwania postępowania i trudności w egzekucji w przypadku, gdyby deweloper zbył lokal osobie trzeciej.</w:t>
      </w:r>
    </w:p>
    <w:p>
      <w:pPr>
        <w:pStyle w:val="Compact"/>
        <w:numPr>
          <w:ilvl w:val="1"/>
          <w:numId w:val="1015"/>
        </w:numPr>
      </w:pPr>
      <w:r>
        <w:rPr>
          <w:b/>
          <w:bCs/>
        </w:rPr>
        <w:t xml:space="preserve">Pozew o odszkodowanie:</w:t>
      </w:r>
      <w:r>
        <w:t xml:space="preserve"> </w:t>
      </w:r>
      <w:r>
        <w:t xml:space="preserve">W przypadku, gdy Klient nie chce już lokalu lub jego wydanie jest niemożliwe (np. skuteczne zbycie lokalu innemu nabywcy), Klient może dochodzić odszkodowania. Odszkodowanie powinno obejmować zarówno zwrot wpłaconych kwot, jak i szkodę wynikającą z utraconych korzyści (np. różnicę w wartości lokalu), oraz koszty związane z poszukiwaniem innej nieruchomości.</w:t>
      </w:r>
    </w:p>
    <w:p>
      <w:pPr>
        <w:pStyle w:val="Compact"/>
        <w:numPr>
          <w:ilvl w:val="1"/>
          <w:numId w:val="1015"/>
        </w:numPr>
      </w:pPr>
      <w:r>
        <w:rPr>
          <w:b/>
          <w:bCs/>
        </w:rPr>
        <w:t xml:space="preserve">Pozew o zwrot nienależnego świadczenia:</w:t>
      </w:r>
      <w:r>
        <w:t xml:space="preserve"> </w:t>
      </w:r>
      <w:r>
        <w:t xml:space="preserve">Obejmuje zwrot zatrzymanych 76 000,00 zł i ewentualną nadpłatę 17 588,55 zł. Jest to prostsze roszczenie finansowe, jednak nie prowadzi do uzyskania lokalu.</w:t>
      </w:r>
    </w:p>
    <w:p>
      <w:pPr>
        <w:pStyle w:val="Compact"/>
        <w:numPr>
          <w:ilvl w:val="0"/>
          <w:numId w:val="1014"/>
        </w:numPr>
      </w:pPr>
      <w:r>
        <w:rPr>
          <w:b/>
          <w:bCs/>
        </w:rPr>
        <w:t xml:space="preserve">Koszty:</w:t>
      </w:r>
    </w:p>
    <w:p>
      <w:pPr>
        <w:pStyle w:val="Compact"/>
        <w:numPr>
          <w:ilvl w:val="1"/>
          <w:numId w:val="1016"/>
        </w:numPr>
      </w:pPr>
      <w:r>
        <w:rPr>
          <w:b/>
          <w:bCs/>
        </w:rPr>
        <w:t xml:space="preserve">Sądowe:</w:t>
      </w:r>
      <w:r>
        <w:t xml:space="preserve"> </w:t>
      </w:r>
      <w:r>
        <w:t xml:space="preserve">Opłaty od pozwu (proporcjonalnie do wartości przedmiotu sporu), wynagrodzenie pełnomocnika, koszty opinii biegłych (rzeczoznawcy, grafologa – jeśli konieczne).</w:t>
      </w:r>
    </w:p>
    <w:p>
      <w:pPr>
        <w:pStyle w:val="Compact"/>
        <w:numPr>
          <w:ilvl w:val="1"/>
          <w:numId w:val="1016"/>
        </w:numPr>
      </w:pPr>
      <w:r>
        <w:rPr>
          <w:b/>
          <w:bCs/>
        </w:rPr>
        <w:t xml:space="preserve">Egzekucyjne:</w:t>
      </w:r>
      <w:r>
        <w:t xml:space="preserve"> </w:t>
      </w:r>
      <w:r>
        <w:t xml:space="preserve">W przypadku braku dobrowolnego wykonania wyroku przez dewelopera.</w:t>
      </w:r>
    </w:p>
    <w:p>
      <w:pPr>
        <w:pStyle w:val="Compact"/>
        <w:numPr>
          <w:ilvl w:val="1"/>
          <w:numId w:val="1016"/>
        </w:numPr>
      </w:pPr>
      <w:r>
        <w:rPr>
          <w:b/>
          <w:bCs/>
        </w:rPr>
        <w:t xml:space="preserve">Ryzyko nieuzyskania zabezpieczenia:</w:t>
      </w:r>
      <w:r>
        <w:t xml:space="preserve"> </w:t>
      </w:r>
      <w:r>
        <w:t xml:space="preserve">Jeśli sąd uzna, że Klient nie uprawdopodobnił roszczenia lub interesu prawnego, brak zabezpieczenia (np. wpisu ostrzeżenia w KW) może umożliwić deweloperowi zbycie lokalu, co skomplikuje uzyskanie lokalu i zredukuje roszczenie do charakteru pieniężnego.</w:t>
      </w:r>
    </w:p>
    <w:p>
      <w:pPr>
        <w:pStyle w:val="Compact"/>
        <w:numPr>
          <w:ilvl w:val="1"/>
          <w:numId w:val="1016"/>
        </w:numPr>
      </w:pPr>
      <w:r>
        <w:rPr>
          <w:b/>
          <w:bCs/>
        </w:rPr>
        <w:t xml:space="preserve">Ryzyko oddalenia powództwa:</w:t>
      </w:r>
      <w:r>
        <w:t xml:space="preserve"> </w:t>
      </w:r>
      <w:r>
        <w:t xml:space="preserve">Jeśli Klient nie udowodni swoich twierdzeń (art. 6 KC, art. 232 KPC - zob. [12, 13, 14, 15, 17, 18, 19]), poniesie koszty procesu.</w:t>
      </w:r>
    </w:p>
    <w:p>
      <w:pPr>
        <w:pStyle w:val="Compact"/>
        <w:numPr>
          <w:ilvl w:val="0"/>
          <w:numId w:val="1014"/>
        </w:numPr>
      </w:pPr>
      <w:r>
        <w:rPr>
          <w:b/>
          <w:bCs/>
        </w:rPr>
        <w:t xml:space="preserve">Rekomendowana strategia działania:</w:t>
      </w:r>
    </w:p>
    <w:p>
      <w:pPr>
        <w:pStyle w:val="Compact"/>
        <w:numPr>
          <w:ilvl w:val="1"/>
          <w:numId w:val="1017"/>
        </w:numPr>
      </w:pPr>
      <w:r>
        <w:rPr>
          <w:b/>
          <w:bCs/>
        </w:rPr>
        <w:t xml:space="preserve">Negocjacje / Mediacja (priorytet):</w:t>
      </w:r>
      <w:r>
        <w:t xml:space="preserve"> </w:t>
      </w:r>
      <w:r>
        <w:t xml:space="preserve">Przed wszczęciem postępowania sądowego, Klient powinien podjąć próbę polubownego rozwiązania sporu. Skuteczne negocjacje mogą przynieść szybsze i mniej kosztowne rozwiązanie. Wskazane jest wysłanie formalnego wezwania do negocjacji/mediacji, wskazując na nieprawidłowości działania dewelopera i przedstawiając alternatywne wyliczenia cenowe. W pozwie należy zawrzeć informację, czy strony podjęły próbę mediacji lub innego pozasądowego sposobu rozwiązania sporu, a w przypadku gdy takich prób nie podjęto, wyjaśnienie przyczyn ich niepodjęcia (art. 187 § 1 pkt 3 KPC [Kodeks postępowania cywilnego Art. 187. [4]]).</w:t>
      </w:r>
    </w:p>
    <w:p>
      <w:pPr>
        <w:pStyle w:val="Compact"/>
        <w:numPr>
          <w:ilvl w:val="1"/>
          <w:numId w:val="1017"/>
        </w:numPr>
      </w:pPr>
      <w:r>
        <w:rPr>
          <w:b/>
          <w:bCs/>
        </w:rPr>
        <w:t xml:space="preserve">Pozew o ustalenie bezskuteczności rozwiązania umowy, nakazanie przeniesienia własności lokalu i ewentualnie zwrot nadpłaconej kwoty (wraz z wnioskiem o zabezpieczenie):</w:t>
      </w:r>
      <w:r>
        <w:t xml:space="preserve"> </w:t>
      </w:r>
      <w:r>
        <w:t xml:space="preserve">Ta strategia jest najbardziej kompleksowa i dąży do pierwotnego celu Klienta – uzyskania lokalu.</w:t>
      </w:r>
    </w:p>
    <w:p>
      <w:pPr>
        <w:pStyle w:val="Compact"/>
        <w:numPr>
          <w:ilvl w:val="2"/>
          <w:numId w:val="1018"/>
        </w:numPr>
      </w:pPr>
      <w:r>
        <w:rPr>
          <w:b/>
          <w:bCs/>
        </w:rPr>
        <w:t xml:space="preserve">Uzasadnienie roszczenia:</w:t>
      </w:r>
      <w:r>
        <w:t xml:space="preserve"> </w:t>
      </w:r>
      <w:r>
        <w:t xml:space="preserve">Należy podkreślić bezskuteczność rozwiązania umowy z powodu bezpodstawności żądania dopłaty oraz abuzywność klauzul dotyczących kary umownej/zatrzymania wpłat.</w:t>
      </w:r>
    </w:p>
    <w:p>
      <w:pPr>
        <w:pStyle w:val="Compact"/>
        <w:numPr>
          <w:ilvl w:val="2"/>
          <w:numId w:val="1018"/>
        </w:numPr>
      </w:pPr>
      <w:r>
        <w:rPr>
          <w:b/>
          <w:bCs/>
        </w:rPr>
        <w:t xml:space="preserve">Wniosek o zabezpieczenie:</w:t>
      </w:r>
      <w:r>
        <w:t xml:space="preserve"> </w:t>
      </w:r>
      <w:r>
        <w:t xml:space="preserve">Konieczne jest złożenie wniosku o wpis ostrzeżenia w księdze wieczystej lokalu. Zgodnie z art. 736 § 1 KPC [Kodeks postępowania cywilnego Art. 736. [8]], wniosek powinien zawierać wskazanie sposobu zabezpieczenia i uprawdopodobnienie okoliczności uzasadniających wniosek (np. działania dewelopera zmierzające do zbycia lokalu).</w:t>
      </w:r>
    </w:p>
    <w:p>
      <w:pPr>
        <w:pStyle w:val="Compact"/>
        <w:numPr>
          <w:ilvl w:val="1"/>
          <w:numId w:val="1017"/>
        </w:numPr>
      </w:pPr>
      <w:r>
        <w:rPr>
          <w:b/>
          <w:bCs/>
        </w:rPr>
        <w:t xml:space="preserve">Powiadomienie organów ochrony konsumentów (UOKiK, Rzecznik Praw Konsumentów):</w:t>
      </w:r>
      <w:r>
        <w:t xml:space="preserve"> </w:t>
      </w:r>
      <w:r>
        <w:t xml:space="preserve">Niezależnie od postępowania sądowego, Klient powinien zawiadomić odpowiednie organy o praktykach dewelopera. Może to skutkować wszczęciem postępowania administracyjnego wobec dewelopera, co wzmocni pozycję Klienta w negocjacjach lub w procesie sądowym.</w:t>
      </w:r>
    </w:p>
    <w:bookmarkEnd w:id="23"/>
    <w:bookmarkEnd w:id="24"/>
    <w:bookmarkStart w:id="29" w:name="wyliczenie-roszczeń"/>
    <w:p>
      <w:pPr>
        <w:pStyle w:val="Heading2"/>
      </w:pPr>
      <w:r>
        <w:t xml:space="preserve">Wyliczenie roszczeń</w:t>
      </w:r>
    </w:p>
    <w:bookmarkStart w:id="25" w:name="X85d43f6efc028c17e82983a7fcdfd24985d497c"/>
    <w:p>
      <w:pPr>
        <w:pStyle w:val="Heading3"/>
      </w:pPr>
      <w:r>
        <w:t xml:space="preserve">A. Roszczenie o zwrot nadpłaconej kwoty wynikającej z prawidłowej korekty ceny:</w:t>
      </w:r>
    </w:p>
    <w:p>
      <w:pPr>
        <w:pStyle w:val="Compact"/>
        <w:numPr>
          <w:ilvl w:val="0"/>
          <w:numId w:val="1019"/>
        </w:numPr>
      </w:pPr>
      <w:r>
        <w:t xml:space="preserve">Pierwotna powierzchnia: 54,00 m² [Źródło 1]</w:t>
      </w:r>
    </w:p>
    <w:p>
      <w:pPr>
        <w:pStyle w:val="Compact"/>
        <w:numPr>
          <w:ilvl w:val="0"/>
          <w:numId w:val="1019"/>
        </w:numPr>
      </w:pPr>
      <w:r>
        <w:t xml:space="preserve">Pierwotna cena całkowita: 560 000,00 zł [Źródło 1]</w:t>
      </w:r>
    </w:p>
    <w:p>
      <w:pPr>
        <w:pStyle w:val="Compact"/>
        <w:numPr>
          <w:ilvl w:val="0"/>
          <w:numId w:val="1019"/>
        </w:numPr>
      </w:pPr>
      <w:r>
        <w:t xml:space="preserve">Pierwotna cena jednostkowa: 560 000,00 zł / 54,00 m² = 10 370,37 zł/m² [Źródło 1]</w:t>
      </w:r>
    </w:p>
    <w:p>
      <w:pPr>
        <w:pStyle w:val="Compact"/>
        <w:numPr>
          <w:ilvl w:val="0"/>
          <w:numId w:val="1019"/>
        </w:numPr>
      </w:pPr>
      <w:r>
        <w:t xml:space="preserve">Zmieniona powierzchnia (zgodnie z pismem dewelopera): 52,30 m² [Źródło 1]</w:t>
      </w:r>
    </w:p>
    <w:p>
      <w:pPr>
        <w:pStyle w:val="Compact"/>
        <w:numPr>
          <w:ilvl w:val="0"/>
          <w:numId w:val="1019"/>
        </w:numPr>
      </w:pPr>
      <w:r>
        <w:t xml:space="preserve">Prawidłowa nowa cena całkowita (52,30 m² * 10 370,37 zł/m²): 542 411,45 zł</w:t>
      </w:r>
    </w:p>
    <w:p>
      <w:pPr>
        <w:pStyle w:val="Compact"/>
        <w:numPr>
          <w:ilvl w:val="0"/>
          <w:numId w:val="1019"/>
        </w:numPr>
      </w:pPr>
      <w:r>
        <w:rPr>
          <w:b/>
          <w:bCs/>
        </w:rPr>
        <w:t xml:space="preserve">Kwota do zwrotu (nadpłata):</w:t>
      </w:r>
      <w:r>
        <w:t xml:space="preserve"> </w:t>
      </w:r>
      <w:r>
        <w:t xml:space="preserve">560 000,00 zł - 542 411,45 zł =</w:t>
      </w:r>
      <w:r>
        <w:t xml:space="preserve"> </w:t>
      </w:r>
      <w:r>
        <w:rPr>
          <w:b/>
          <w:bCs/>
        </w:rPr>
        <w:t xml:space="preserve">17 588,55 zł</w:t>
      </w:r>
      <w:r>
        <w:t xml:space="preserve">.</w:t>
      </w:r>
    </w:p>
    <w:bookmarkEnd w:id="25"/>
    <w:bookmarkStart w:id="26" w:name="b.-roszczenie-o-zwrot-zatrzymanych-wpłat"/>
    <w:p>
      <w:pPr>
        <w:pStyle w:val="Heading3"/>
      </w:pPr>
      <w:r>
        <w:t xml:space="preserve">B. Roszczenie o zwrot zatrzymanych wpłat:</w:t>
      </w:r>
    </w:p>
    <w:p>
      <w:pPr>
        <w:pStyle w:val="Compact"/>
        <w:numPr>
          <w:ilvl w:val="0"/>
          <w:numId w:val="1020"/>
        </w:numPr>
      </w:pPr>
      <w:r>
        <w:t xml:space="preserve">Kwota zatrzymana przez dewelopera jako</w:t>
      </w:r>
      <w:r>
        <w:t xml:space="preserve"> </w:t>
      </w:r>
      <w:r>
        <w:t xml:space="preserve">“kara umowna/odszkodowanie”</w:t>
      </w:r>
      <w:r>
        <w:t xml:space="preserve">:</w:t>
      </w:r>
      <w:r>
        <w:t xml:space="preserve"> </w:t>
      </w:r>
      <w:r>
        <w:rPr>
          <w:b/>
          <w:bCs/>
        </w:rPr>
        <w:t xml:space="preserve">76 000,00 zł</w:t>
      </w:r>
      <w:r>
        <w:t xml:space="preserve"> </w:t>
      </w:r>
      <w:r>
        <w:t xml:space="preserve">[Źródło 1].</w:t>
      </w:r>
    </w:p>
    <w:bookmarkEnd w:id="26"/>
    <w:bookmarkStart w:id="27" w:name="c.-łączne-roszczenie-pieniężne"/>
    <w:p>
      <w:pPr>
        <w:pStyle w:val="Heading3"/>
      </w:pPr>
      <w:r>
        <w:t xml:space="preserve">C. Łączne roszczenie pieniężne:</w:t>
      </w:r>
    </w:p>
    <w:p>
      <w:pPr>
        <w:pStyle w:val="Compact"/>
        <w:numPr>
          <w:ilvl w:val="0"/>
          <w:numId w:val="1021"/>
        </w:numPr>
      </w:pPr>
      <w:r>
        <w:t xml:space="preserve">Zwrot nadpłaty + Zwrot zatrzymanych wpłat = 17 588,55 zł + 76 000,00 zł =</w:t>
      </w:r>
      <w:r>
        <w:t xml:space="preserve"> </w:t>
      </w:r>
      <w:r>
        <w:rPr>
          <w:b/>
          <w:bCs/>
        </w:rPr>
        <w:t xml:space="preserve">93 588,55 zł</w:t>
      </w:r>
      <w:r>
        <w:t xml:space="preserve">.</w:t>
      </w:r>
    </w:p>
    <w:bookmarkEnd w:id="27"/>
    <w:bookmarkStart w:id="28" w:name="odsetki"/>
    <w:p>
      <w:pPr>
        <w:pStyle w:val="Heading3"/>
      </w:pPr>
      <w:r>
        <w:t xml:space="preserve">Odsetki:</w:t>
      </w:r>
    </w:p>
    <w:p>
      <w:pPr>
        <w:pStyle w:val="FirstParagraph"/>
      </w:pPr>
      <w:r>
        <w:t xml:space="preserve">Odsetki ustawowe za opóźnienie od łącznej kwoty 93 588,55 zł, liczone od dnia następnego po terminie, w którym deweloper powinien był zwrócić wpłacone środki lub w którym żądana dopłata stała się bezpodstawna (tj. od 21 czerwca 2024 r. lub od daty doręczenia wezwania do zapłaty, jeśli byłoby wcześniejsze).</w:t>
      </w:r>
    </w:p>
    <w:bookmarkEnd w:id="28"/>
    <w:bookmarkEnd w:id="29"/>
    <w:bookmarkStart w:id="34" w:name="rejestr-ryzyk-i-szans"/>
    <w:p>
      <w:pPr>
        <w:pStyle w:val="Heading2"/>
      </w:pPr>
      <w:r>
        <w:t xml:space="preserve">Rejestr ryzyk i szans</w:t>
      </w:r>
    </w:p>
    <w:bookmarkStart w:id="30" w:name="mocne-strony-sprawy-szanse"/>
    <w:p>
      <w:pPr>
        <w:pStyle w:val="Heading3"/>
      </w:pPr>
      <w:r>
        <w:t xml:space="preserve">Mocne strony sprawy (szanse):</w:t>
      </w:r>
    </w:p>
    <w:p>
      <w:pPr>
        <w:pStyle w:val="Compact"/>
        <w:numPr>
          <w:ilvl w:val="0"/>
          <w:numId w:val="1022"/>
        </w:numPr>
      </w:pPr>
      <w:r>
        <w:rPr>
          <w:b/>
          <w:bCs/>
        </w:rPr>
        <w:t xml:space="preserve">Bezskuteczność rozwiązania umowy:</w:t>
      </w:r>
      <w:r>
        <w:t xml:space="preserve"> </w:t>
      </w:r>
      <w:r>
        <w:t xml:space="preserve">Działanie dewelopera było sprzeczne z treścią umowy w zakresie sposobu obliczenia korekty ceny i nie stanowiło podstawy do rozwiązania umowy.</w:t>
      </w:r>
    </w:p>
    <w:p>
      <w:pPr>
        <w:pStyle w:val="Compact"/>
        <w:numPr>
          <w:ilvl w:val="0"/>
          <w:numId w:val="1022"/>
        </w:numPr>
      </w:pPr>
      <w:r>
        <w:rPr>
          <w:b/>
          <w:bCs/>
        </w:rPr>
        <w:t xml:space="preserve">Abuzywność klauzul:</w:t>
      </w:r>
      <w:r>
        <w:t xml:space="preserve"> </w:t>
      </w:r>
      <w:r>
        <w:t xml:space="preserve">Postanowienia dotyczące kary umownej za brak zapłaty zobowiązania pieniężnego są nieważne z mocy prawa (art. 483 § 1 k.c., zob. [6]), a klauzula zatrzymania wysokich wpłat jako odszkodowania może być uznana za niedozwolone postanowienie umowne.</w:t>
      </w:r>
    </w:p>
    <w:p>
      <w:pPr>
        <w:pStyle w:val="Compact"/>
        <w:numPr>
          <w:ilvl w:val="0"/>
          <w:numId w:val="1022"/>
        </w:numPr>
      </w:pPr>
      <w:r>
        <w:rPr>
          <w:b/>
          <w:bCs/>
        </w:rPr>
        <w:t xml:space="preserve">Ochrona konsumencka:</w:t>
      </w:r>
      <w:r>
        <w:t xml:space="preserve"> </w:t>
      </w:r>
      <w:r>
        <w:t xml:space="preserve">Klient jest konsumentem, co zapewnia mu szerszą ochronę prawną. Sądy często interpretują niejasne postanowienia na korzyść konsumenta (zasada</w:t>
      </w:r>
      <w:r>
        <w:t xml:space="preserve"> </w:t>
      </w:r>
      <w:r>
        <w:rPr>
          <w:i/>
          <w:iCs/>
        </w:rPr>
        <w:t xml:space="preserve">in dubio pro consumptore</w:t>
      </w:r>
      <w:r>
        <w:t xml:space="preserve">).</w:t>
      </w:r>
    </w:p>
    <w:p>
      <w:pPr>
        <w:pStyle w:val="Compact"/>
        <w:numPr>
          <w:ilvl w:val="0"/>
          <w:numId w:val="1022"/>
        </w:numPr>
      </w:pPr>
      <w:r>
        <w:rPr>
          <w:b/>
          <w:bCs/>
        </w:rPr>
        <w:t xml:space="preserve">Dowody w postaci pism dewelopera:</w:t>
      </w:r>
      <w:r>
        <w:t xml:space="preserve"> </w:t>
      </w:r>
      <w:r>
        <w:t xml:space="preserve">Pisma dewelopera (INF/████/███ i ROZ/████/███) jasno wskazują na jego działania i podstawy, co ułatwia udowodnienie faktów [Źródło 1].</w:t>
      </w:r>
    </w:p>
    <w:bookmarkEnd w:id="30"/>
    <w:bookmarkStart w:id="31" w:name="słabe-strony-sprawy-ryzyka"/>
    <w:p>
      <w:pPr>
        <w:pStyle w:val="Heading3"/>
      </w:pPr>
      <w:r>
        <w:t xml:space="preserve">Słabe strony sprawy (ryzyka):</w:t>
      </w:r>
    </w:p>
    <w:p>
      <w:pPr>
        <w:pStyle w:val="Compact"/>
        <w:numPr>
          <w:ilvl w:val="0"/>
          <w:numId w:val="1023"/>
        </w:numPr>
      </w:pPr>
      <w:r>
        <w:rPr>
          <w:b/>
          <w:bCs/>
        </w:rPr>
        <w:t xml:space="preserve">Ryzyko zbycia lokalu:</w:t>
      </w:r>
      <w:r>
        <w:t xml:space="preserve"> </w:t>
      </w:r>
      <w:r>
        <w:t xml:space="preserve">Deweloper podjął działania zmierzające do zbycia lokalu innemu nabywcy [Źródło 1]. Brak szybkiego zabezpieczenia może skutkować tym, że Klient nie uzyska lokalu.</w:t>
      </w:r>
    </w:p>
    <w:p>
      <w:pPr>
        <w:pStyle w:val="Compact"/>
        <w:numPr>
          <w:ilvl w:val="0"/>
          <w:numId w:val="1023"/>
        </w:numPr>
      </w:pPr>
      <w:r>
        <w:rPr>
          <w:b/>
          <w:bCs/>
        </w:rPr>
        <w:t xml:space="preserve">Długotrwałość postępowania:</w:t>
      </w:r>
      <w:r>
        <w:t xml:space="preserve"> </w:t>
      </w:r>
      <w:r>
        <w:t xml:space="preserve">Sprawy deweloperskie bywają skomplikowane i mogą trwać długo, generując koszty.</w:t>
      </w:r>
    </w:p>
    <w:p>
      <w:pPr>
        <w:pStyle w:val="Compact"/>
        <w:numPr>
          <w:ilvl w:val="0"/>
          <w:numId w:val="1023"/>
        </w:numPr>
      </w:pPr>
      <w:r>
        <w:rPr>
          <w:b/>
          <w:bCs/>
        </w:rPr>
        <w:t xml:space="preserve">Trudności w wykazaniu szkody (w przypadku odszkodowania):</w:t>
      </w:r>
      <w:r>
        <w:t xml:space="preserve"> </w:t>
      </w:r>
      <w:r>
        <w:t xml:space="preserve">Wykazanie precyzyjnej wysokości szkody (np. z tytułu utraty wartości lokalu, czy utraconych korzyści) może wymagać opinii biegłego i być czasochłonne.</w:t>
      </w:r>
    </w:p>
    <w:bookmarkEnd w:id="31"/>
    <w:bookmarkStart w:id="32" w:name="kontrargumenty-strony-przeciwnej"/>
    <w:p>
      <w:pPr>
        <w:pStyle w:val="Heading3"/>
      </w:pPr>
      <w:r>
        <w:t xml:space="preserve">Kontrargumenty strony przeciwnej:</w:t>
      </w:r>
    </w:p>
    <w:p>
      <w:pPr>
        <w:pStyle w:val="Compact"/>
        <w:numPr>
          <w:ilvl w:val="0"/>
          <w:numId w:val="1024"/>
        </w:numPr>
      </w:pPr>
      <w:r>
        <w:rPr>
          <w:b/>
          <w:bCs/>
        </w:rPr>
        <w:t xml:space="preserve">Powołanie na swobodę umów:</w:t>
      </w:r>
      <w:r>
        <w:t xml:space="preserve"> </w:t>
      </w:r>
      <w:r>
        <w:t xml:space="preserve">Deweloper będzie argumentował, że Klient podpisał umowę i akceptował jej warunki.</w:t>
      </w:r>
    </w:p>
    <w:p>
      <w:pPr>
        <w:pStyle w:val="Compact"/>
        <w:numPr>
          <w:ilvl w:val="0"/>
          <w:numId w:val="1024"/>
        </w:numPr>
      </w:pPr>
      <w:r>
        <w:rPr>
          <w:b/>
          <w:bCs/>
        </w:rPr>
        <w:t xml:space="preserve">Zgodność z § 9 ust. 3:</w:t>
      </w:r>
      <w:r>
        <w:t xml:space="preserve"> </w:t>
      </w:r>
      <w:r>
        <w:t xml:space="preserve">Deweloper może próbować interpretować § 9 ust. 3 w sposób dla siebie korzystny, twierdząc, że</w:t>
      </w:r>
      <w:r>
        <w:t xml:space="preserve"> </w:t>
      </w:r>
      <w:r>
        <w:t xml:space="preserve">“odpowiednia korekta ceny”</w:t>
      </w:r>
      <w:r>
        <w:t xml:space="preserve"> </w:t>
      </w:r>
      <w:r>
        <w:t xml:space="preserve">uprawniała go do zmiany ceny jednostkowej.</w:t>
      </w:r>
    </w:p>
    <w:p>
      <w:pPr>
        <w:pStyle w:val="Compact"/>
        <w:numPr>
          <w:ilvl w:val="0"/>
          <w:numId w:val="1024"/>
        </w:numPr>
      </w:pPr>
      <w:r>
        <w:rPr>
          <w:b/>
          <w:bCs/>
        </w:rPr>
        <w:t xml:space="preserve">Brak sprzeciwu/termin:</w:t>
      </w:r>
      <w:r>
        <w:t xml:space="preserve"> </w:t>
      </w:r>
      <w:r>
        <w:t xml:space="preserve">Może powoływać się na brak sprzeciwu Klienta w wyznaczonym terminie, choć Klient zgłosił sprzeciw i reklamację [Źródło 1].</w:t>
      </w:r>
    </w:p>
    <w:p>
      <w:pPr>
        <w:pStyle w:val="Compact"/>
        <w:numPr>
          <w:ilvl w:val="0"/>
          <w:numId w:val="1024"/>
        </w:numPr>
      </w:pPr>
      <w:r>
        <w:rPr>
          <w:b/>
          <w:bCs/>
        </w:rPr>
        <w:t xml:space="preserve">Brak dopłaty jako podstawa rozwiązania:</w:t>
      </w:r>
      <w:r>
        <w:t xml:space="preserve"> </w:t>
      </w:r>
      <w:r>
        <w:t xml:space="preserve">Będzie twierdził, że Klient nie wywiązał się ze swojego zobowiązania pieniężnego.</w:t>
      </w:r>
    </w:p>
    <w:p>
      <w:pPr>
        <w:pStyle w:val="Compact"/>
        <w:numPr>
          <w:ilvl w:val="0"/>
          <w:numId w:val="1024"/>
        </w:numPr>
      </w:pPr>
      <w:r>
        <w:rPr>
          <w:b/>
          <w:bCs/>
        </w:rPr>
        <w:t xml:space="preserve">Kary umowne/odszkodowanie:</w:t>
      </w:r>
      <w:r>
        <w:t xml:space="preserve"> </w:t>
      </w:r>
      <w:r>
        <w:t xml:space="preserve">Może bronić zasadności zatrzymania wpłat, twierdząc, że odpowiadają one faktycznie poniesionym szkodom (np. koszty utrzymania budowy, utracone zyski z potencjalnego zbycia lokalu innemu nabywcy), co będzie wymagało od Klienta obalenia tych twierdzeń.</w:t>
      </w:r>
    </w:p>
    <w:bookmarkEnd w:id="32"/>
    <w:bookmarkStart w:id="33" w:name="rekomendowana-strategia"/>
    <w:p>
      <w:pPr>
        <w:pStyle w:val="Heading3"/>
      </w:pPr>
      <w:r>
        <w:t xml:space="preserve">Rekomendowana strategia:</w:t>
      </w:r>
    </w:p>
    <w:p>
      <w:pPr>
        <w:pStyle w:val="Compact"/>
        <w:numPr>
          <w:ilvl w:val="0"/>
          <w:numId w:val="1025"/>
        </w:numPr>
      </w:pPr>
      <w:r>
        <w:rPr>
          <w:b/>
          <w:bCs/>
        </w:rPr>
        <w:t xml:space="preserve">Negocjacje/Mediacje:</w:t>
      </w:r>
      <w:r>
        <w:t xml:space="preserve"> </w:t>
      </w:r>
      <w:r>
        <w:t xml:space="preserve">Na tym etapie należy podjąć jeszcze jedną, formalną próbę negocjacji, przedstawiając deweloperowi mocną argumentację prawną opartą na niniejszej analizie. Należy zaproponować wyliczenie ceny zgodnie z zasadą § 9 ust. 3 (cena jednostkowa z dnia umowy) i zwrot wpłaconych środków (ew. ich zaliczenie na poczet nowej, niższej ceny). Celem jest zawarcie aneksu do umowy deweloperskiej lub nowej umowy sprzedaży na korzystnych dla Klienta warunkach.</w:t>
      </w:r>
    </w:p>
    <w:p>
      <w:pPr>
        <w:pStyle w:val="Compact"/>
        <w:numPr>
          <w:ilvl w:val="0"/>
          <w:numId w:val="1025"/>
        </w:numPr>
      </w:pPr>
      <w:r>
        <w:rPr>
          <w:b/>
          <w:bCs/>
        </w:rPr>
        <w:t xml:space="preserve">Postępowanie sądowe – Pozew o ustalenie bezskuteczności rozwiązania umowy, nakazanie przeniesienia własności lokalu i ewentualnie zwrot nadpłaconej kwoty, wraz z wnioskiem o zabezpieczenie:</w:t>
      </w:r>
      <w:r>
        <w:t xml:space="preserve"> </w:t>
      </w:r>
      <w:r>
        <w:t xml:space="preserve">Jeżeli negocjacje nie przyniosą rezultatu, należy bezzwłocznie wystąpić z pozwem.</w:t>
      </w:r>
    </w:p>
    <w:p>
      <w:pPr>
        <w:pStyle w:val="Compact"/>
        <w:numPr>
          <w:ilvl w:val="1"/>
          <w:numId w:val="1026"/>
        </w:numPr>
      </w:pPr>
      <w:r>
        <w:rPr>
          <w:b/>
          <w:bCs/>
        </w:rPr>
        <w:t xml:space="preserve">Zalety:</w:t>
      </w:r>
      <w:r>
        <w:t xml:space="preserve"> </w:t>
      </w:r>
      <w:r>
        <w:t xml:space="preserve">Strategia ta dąży do pełnej realizacji pierwotnego celu Klienta, tj. uzyskania lokalu. Wpis ostrzeżenia do księgi wieczystej jest silnym zabezpieczeniem.</w:t>
      </w:r>
    </w:p>
    <w:p>
      <w:pPr>
        <w:pStyle w:val="Compact"/>
        <w:numPr>
          <w:ilvl w:val="1"/>
          <w:numId w:val="1026"/>
        </w:numPr>
      </w:pPr>
      <w:r>
        <w:rPr>
          <w:b/>
          <w:bCs/>
        </w:rPr>
        <w:t xml:space="preserve">Ryzyka:</w:t>
      </w:r>
      <w:r>
        <w:t xml:space="preserve"> </w:t>
      </w:r>
      <w:r>
        <w:t xml:space="preserve">Czasochłonność i koszty postępowania sądowego.</w:t>
      </w:r>
    </w:p>
    <w:p>
      <w:pPr>
        <w:pStyle w:val="Compact"/>
        <w:numPr>
          <w:ilvl w:val="0"/>
          <w:numId w:val="1025"/>
        </w:numPr>
      </w:pPr>
      <w:r>
        <w:rPr>
          <w:b/>
          <w:bCs/>
        </w:rPr>
        <w:t xml:space="preserve">Powiadomienie UOKiK/Rzecznika Praw Konsumentów:</w:t>
      </w:r>
      <w:r>
        <w:t xml:space="preserve"> </w:t>
      </w:r>
      <w:r>
        <w:t xml:space="preserve">Równolegle z działaniami procesowymi należy poinformować organy ochrony konsumentów. Ich interwencja może wzmocnić pozycję Klienta.</w:t>
      </w:r>
    </w:p>
    <w:bookmarkEnd w:id="33"/>
    <w:bookmarkEnd w:id="34"/>
    <w:bookmarkStart w:id="38" w:name="projekty-pism"/>
    <w:p>
      <w:pPr>
        <w:pStyle w:val="Heading2"/>
      </w:pPr>
      <w:r>
        <w:t xml:space="preserve">Projekty pism</w:t>
      </w:r>
    </w:p>
    <w:bookmarkStart w:id="35" w:name="X3da1685fb03c4f5d869a14f683cab0eea18c0f3"/>
    <w:p>
      <w:pPr>
        <w:pStyle w:val="Heading3"/>
      </w:pPr>
      <w:r>
        <w:t xml:space="preserve">I. Wezwanie do wykonania umowy i zapłaty (do dewelopera)</w:t>
      </w:r>
    </w:p>
    <w:p>
      <w:pPr>
        <w:pStyle w:val="FirstParagraph"/>
      </w:pPr>
      <w:r>
        <w:rPr>
          <w:b/>
          <w:bCs/>
        </w:rPr>
        <w:t xml:space="preserve">MIEJSCOWOŚĆ, DNIA RRRR-MM-DD</w:t>
      </w:r>
    </w:p>
    <w:p>
      <w:pPr>
        <w:pStyle w:val="BodyText"/>
      </w:pPr>
      <w:r>
        <w:rPr>
          <w:b/>
          <w:bCs/>
        </w:rPr>
        <w:t xml:space="preserve">ADRESAT:</w:t>
      </w:r>
      <w:r>
        <w:t xml:space="preserve"> </w:t>
      </w:r>
      <w:r>
        <w:t xml:space="preserve">Deweloper D. sp. z o.o.</w:t>
      </w:r>
      <w:r>
        <w:t xml:space="preserve"> </w:t>
      </w:r>
      <w:r>
        <w:t xml:space="preserve">[Adres Dewelopera]</w:t>
      </w:r>
      <w:r>
        <w:t xml:space="preserve"> </w:t>
      </w:r>
      <w:r>
        <w:t xml:space="preserve">[Kod pocztowy Miejscowość]</w:t>
      </w:r>
    </w:p>
    <w:p>
      <w:pPr>
        <w:pStyle w:val="BodyText"/>
      </w:pPr>
      <w:r>
        <w:rPr>
          <w:b/>
          <w:bCs/>
        </w:rPr>
        <w:t xml:space="preserve">NADRZEKANY:</w:t>
      </w:r>
      <w:r>
        <w:t xml:space="preserve"> </w:t>
      </w:r>
      <w:r>
        <w:t xml:space="preserve">M. N.</w:t>
      </w:r>
      <w:r>
        <w:t xml:space="preserve"> </w:t>
      </w:r>
      <w:r>
        <w:t xml:space="preserve">[Adres Klienta]</w:t>
      </w:r>
      <w:r>
        <w:t xml:space="preserve"> </w:t>
      </w:r>
      <w:r>
        <w:t xml:space="preserve">[Kod pocztowy Miejscowość]</w:t>
      </w:r>
    </w:p>
    <w:p>
      <w:pPr>
        <w:pStyle w:val="BodyText"/>
      </w:pPr>
      <w:r>
        <w:rPr>
          <w:b/>
          <w:bCs/>
        </w:rPr>
        <w:t xml:space="preserve">DOTYCZY:</w:t>
      </w:r>
      <w:r>
        <w:t xml:space="preserve"> </w:t>
      </w:r>
      <w:r>
        <w:t xml:space="preserve">Wezwania do wykonania umowy deweloperskiej nr UD/████/███ z dnia 10 marca 2023 r., anulowania bezskutecznego rozwiązania umowy, zapłaty kwoty 93 588,55 zł wraz z odsetkami ustawowymi za opóźnienie.</w:t>
      </w:r>
    </w:p>
    <w:p>
      <w:pPr>
        <w:pStyle w:val="BodyText"/>
      </w:pPr>
      <w:r>
        <w:rPr>
          <w:b/>
          <w:bCs/>
        </w:rPr>
        <w:t xml:space="preserve">Szanowni Państwo,</w:t>
      </w:r>
    </w:p>
    <w:p>
      <w:pPr>
        <w:pStyle w:val="BodyText"/>
      </w:pPr>
      <w:r>
        <w:t xml:space="preserve">Działając w imieniu M. N., w odpowiedzi na Państwa pismo nr INF/████/███ z dnia 12 maja 2024 r. oraz pismo nr ROZ/████/███ z dnia 20 czerwca 2024 r., niniejszym wzywamy Państwa do natychmiastowego wykonania postanowień umowy deweloperskiej nr UD/████/███ z dnia 10 marca 2023 r. oraz uregulowania należności, zgodnie z poniższym.</w:t>
      </w:r>
    </w:p>
    <w:p>
      <w:pPr>
        <w:pStyle w:val="BodyText"/>
      </w:pPr>
      <w:r>
        <w:rPr>
          <w:b/>
          <w:bCs/>
        </w:rPr>
        <w:t xml:space="preserve">I. Bezskuteczność rozwiązania umowy i korekty ceny:</w:t>
      </w:r>
    </w:p>
    <w:p>
      <w:pPr>
        <w:pStyle w:val="Compact"/>
        <w:numPr>
          <w:ilvl w:val="0"/>
          <w:numId w:val="1027"/>
        </w:numPr>
      </w:pPr>
      <w:r>
        <w:t xml:space="preserve">Zwracamy uwagę, że Państwa pismo z dnia 20 czerwca 2024 r., informujące o rozwiązaniu umowy deweloperskiej nr UD/████/███, jest bezskuteczne. Rozwiązanie to opiera się na bezpodstawnym żądaniu dopłaty kwoty 26 986,00 zł, o którym poinformowali Państwo w piśmie z dnia 12 maja 2024 r. [Źródło 1].</w:t>
      </w:r>
    </w:p>
    <w:p>
      <w:pPr>
        <w:pStyle w:val="Compact"/>
        <w:numPr>
          <w:ilvl w:val="0"/>
          <w:numId w:val="1027"/>
        </w:numPr>
      </w:pPr>
      <w:r>
        <w:t xml:space="preserve">Postanowienie § 9 ust. 3 umowy deweloperskiej wyraźnie stanowi, że korekta ceny ma nastąpić</w:t>
      </w:r>
      <w:r>
        <w:t xml:space="preserve"> </w:t>
      </w:r>
      <w:r>
        <w:t xml:space="preserve">“według ceny jednostkowej z dnia zawarcia umowy”</w:t>
      </w:r>
      <w:r>
        <w:t xml:space="preserve"> </w:t>
      </w:r>
      <w:r>
        <w:t xml:space="preserve">[Źródło 1]. Pierwotna cena jednostkowa wynosiła 10 370,37 zł/m² [Źródło 1]. Zatem przy zmniejszeniu powierzchni lokalu A-12 do 52,30 m² [Źródło 1], cena całkowita powinna wynosić 542 411,45 zł (52,30 m² x 10 370,37 zł/m²), a nie 586 986,00 zł. Państwa żądanie dopłaty, wynikające ze sztucznie zawyżonej ceny jednostkowej (11 220,00 zł/m²) [Źródło 1], jest zatem niezgodne z treścią samej umowy.</w:t>
      </w:r>
    </w:p>
    <w:p>
      <w:pPr>
        <w:pStyle w:val="Compact"/>
        <w:numPr>
          <w:ilvl w:val="0"/>
          <w:numId w:val="1027"/>
        </w:numPr>
      </w:pPr>
      <w:r>
        <w:t xml:space="preserve">W związku z powyższym, M. N. nie był w zwłoce z zapłatą bezpodstawnie żądanej kwoty, a Państwu nie przysługiwało prawo do rozwiązania umowy. Co więcej, to Państwo nienależycie wykonaliście umowę, próbując jednostronnie i wbrew jej postanowieniom zmienić warunki cenowe.</w:t>
      </w:r>
    </w:p>
    <w:p>
      <w:pPr>
        <w:pStyle w:val="FirstParagraph"/>
      </w:pPr>
      <w:r>
        <w:rPr>
          <w:b/>
          <w:bCs/>
        </w:rPr>
        <w:t xml:space="preserve">II. Nieważność zatrzymania wpłat jako kary umownej/odszkodowania:</w:t>
      </w:r>
    </w:p>
    <w:p>
      <w:pPr>
        <w:pStyle w:val="Compact"/>
        <w:numPr>
          <w:ilvl w:val="0"/>
          <w:numId w:val="1028"/>
        </w:numPr>
      </w:pPr>
      <w:r>
        <w:t xml:space="preserve">Zatrzymanie przez Państwa kwoty 76 000,00 zł [Źródło 1], wpłaconej przez M. N., jako</w:t>
      </w:r>
      <w:r>
        <w:t xml:space="preserve"> </w:t>
      </w:r>
      <w:r>
        <w:t xml:space="preserve">“kary umownej/odszkodowania”</w:t>
      </w:r>
      <w:r>
        <w:t xml:space="preserve">, jest niedopuszczalne i nieważne. Zgodnie z art. 483 § 1 Kodeksu cywilnego (zob. Sąd Apelacyjny w Łodzi, sygn. akt XIII Ga ████/██ [6]), karę umowną można zastrzec wyłącznie za niewykonanie lub nienależyte wykonanie zobowiązania niepieniężnego. Roszczenie o zapłatę dopłaty jest zobowiązaniem pieniężnym.</w:t>
      </w:r>
    </w:p>
    <w:p>
      <w:pPr>
        <w:pStyle w:val="Compact"/>
        <w:numPr>
          <w:ilvl w:val="0"/>
          <w:numId w:val="1028"/>
        </w:numPr>
      </w:pPr>
      <w:r>
        <w:t xml:space="preserve">Niezależnie od powyższego, postanowienie umowne umożliwiające zatrzymanie tak wysokiej kwoty w przypadku, gdy to deweloper narusza warunki umowy, stanowi niedozwolone postanowienie umowne (klauzulę abuzywną), rażąco naruszającą interesy konsumenta.</w:t>
      </w:r>
    </w:p>
    <w:p>
      <w:pPr>
        <w:pStyle w:val="FirstParagraph"/>
      </w:pPr>
      <w:r>
        <w:rPr>
          <w:b/>
          <w:bCs/>
        </w:rPr>
        <w:t xml:space="preserve">III. Żądania Klienta:</w:t>
      </w:r>
    </w:p>
    <w:p>
      <w:pPr>
        <w:pStyle w:val="BodyText"/>
      </w:pPr>
      <w:r>
        <w:t xml:space="preserve">Wobec powyższego, wzywamy Państwa do:</w:t>
      </w:r>
      <w:r>
        <w:t xml:space="preserve"> </w:t>
      </w:r>
      <w:r>
        <w:t xml:space="preserve">1.</w:t>
      </w:r>
      <w:r>
        <w:t xml:space="preserve"> </w:t>
      </w:r>
      <w:r>
        <w:rPr>
          <w:b/>
          <w:bCs/>
        </w:rPr>
        <w:t xml:space="preserve">Potwierdzenia bezskuteczności rozwiązania umowy deweloperskiej</w:t>
      </w:r>
      <w:r>
        <w:t xml:space="preserve"> </w:t>
      </w:r>
      <w:r>
        <w:t xml:space="preserve">nr UD/████/███ z dnia 10 marca 2023 r. oraz uznania jej za wiążącą.</w:t>
      </w:r>
      <w:r>
        <w:t xml:space="preserve"> </w:t>
      </w:r>
      <w:r>
        <w:t xml:space="preserve">2.</w:t>
      </w:r>
      <w:r>
        <w:t xml:space="preserve"> </w:t>
      </w:r>
      <w:r>
        <w:rPr>
          <w:b/>
          <w:bCs/>
        </w:rPr>
        <w:t xml:space="preserve">Ustalenia ceny całkowitej lokalu A-12 na kwotę 542 411,45 zł</w:t>
      </w:r>
      <w:r>
        <w:t xml:space="preserve">, zgodnie z pierwotną ceną jednostkową i faktyczną powierzchnią 52,30 m².</w:t>
      </w:r>
      <w:r>
        <w:t xml:space="preserve"> </w:t>
      </w:r>
      <w:r>
        <w:t xml:space="preserve">3.</w:t>
      </w:r>
      <w:r>
        <w:t xml:space="preserve"> </w:t>
      </w:r>
      <w:r>
        <w:rPr>
          <w:b/>
          <w:bCs/>
        </w:rPr>
        <w:t xml:space="preserve">Zwrotu kwoty 17 588,55 zł</w:t>
      </w:r>
      <w:r>
        <w:t xml:space="preserve"> </w:t>
      </w:r>
      <w:r>
        <w:t xml:space="preserve">tytułem nadpłaty wynikającej z korekty ceny.</w:t>
      </w:r>
      <w:r>
        <w:t xml:space="preserve"> </w:t>
      </w:r>
      <w:r>
        <w:t xml:space="preserve">4.</w:t>
      </w:r>
      <w:r>
        <w:t xml:space="preserve"> </w:t>
      </w:r>
      <w:r>
        <w:rPr>
          <w:b/>
          <w:bCs/>
        </w:rPr>
        <w:t xml:space="preserve">Zwrotu kwoty 76 000,00 zł</w:t>
      </w:r>
      <w:r>
        <w:t xml:space="preserve"> </w:t>
      </w:r>
      <w:r>
        <w:t xml:space="preserve">tytułem bezpodstawnie zatrzymanych wpłat.</w:t>
      </w:r>
      <w:r>
        <w:t xml:space="preserve"> </w:t>
      </w:r>
      <w:r>
        <w:t xml:space="preserve">5. Łączna kwota do zwrotu wynosi</w:t>
      </w:r>
      <w:r>
        <w:t xml:space="preserve"> </w:t>
      </w:r>
      <w:r>
        <w:rPr>
          <w:b/>
          <w:bCs/>
        </w:rPr>
        <w:t xml:space="preserve">93 588,55 zł</w:t>
      </w:r>
      <w:r>
        <w:t xml:space="preserve"> </w:t>
      </w:r>
      <w:r>
        <w:t xml:space="preserve">(słownie: dziewięćdziesiąt trzy tysiące pięćset osiemdziesiąt osiem złotych i pięćdziesiąt pięć groszy). Żądamy także zapłaty</w:t>
      </w:r>
      <w:r>
        <w:t xml:space="preserve"> </w:t>
      </w:r>
      <w:r>
        <w:rPr>
          <w:b/>
          <w:bCs/>
        </w:rPr>
        <w:t xml:space="preserve">odsetek ustawowych za opóźnienie</w:t>
      </w:r>
      <w:r>
        <w:t xml:space="preserve"> </w:t>
      </w:r>
      <w:r>
        <w:t xml:space="preserve">od tej kwoty, liczonych od dnia 21 czerwca 2024 r. do dnia zapłaty.</w:t>
      </w:r>
    </w:p>
    <w:p>
      <w:pPr>
        <w:pStyle w:val="BodyText"/>
      </w:pPr>
      <w:r>
        <w:rPr>
          <w:b/>
          <w:bCs/>
        </w:rPr>
        <w:t xml:space="preserve">IV. Terminy:</w:t>
      </w:r>
    </w:p>
    <w:p>
      <w:pPr>
        <w:pStyle w:val="BodyText"/>
      </w:pPr>
      <w:r>
        <w:t xml:space="preserve">Oczekujemy Państwa odpowiedzi oraz wykonania powyższych żądań w terminie</w:t>
      </w:r>
      <w:r>
        <w:t xml:space="preserve"> </w:t>
      </w:r>
      <w:r>
        <w:rPr>
          <w:b/>
          <w:bCs/>
        </w:rPr>
        <w:t xml:space="preserve">7 (siedmiu) dni</w:t>
      </w:r>
      <w:r>
        <w:t xml:space="preserve"> </w:t>
      </w:r>
      <w:r>
        <w:t xml:space="preserve">od daty otrzymania niniejszego wezwania. W przypadku braku pozytywnej odpowiedzi lub braku wykonania żądań w wyznaczonym terminie, będziemy zmuszeni skierować sprawę na drogę postępowania sądowego, co wiązać się będzie z daleko idącymi konsekwencjami prawnymi i finansowymi po Państwa stronie.</w:t>
      </w:r>
    </w:p>
    <w:p>
      <w:pPr>
        <w:pStyle w:val="BodyText"/>
      </w:pPr>
      <w:r>
        <w:rPr>
          <w:b/>
          <w:bCs/>
        </w:rPr>
        <w:t xml:space="preserve">Z poważaniem,</w:t>
      </w:r>
      <w:r>
        <w:t xml:space="preserve"> </w:t>
      </w:r>
      <w:r>
        <w:t xml:space="preserve">[Podpis pełnomocnika Klienta]</w:t>
      </w:r>
      <w:r>
        <w:t xml:space="preserve"> </w:t>
      </w:r>
      <w:r>
        <w:t xml:space="preserve">[Pieczęć Kancelarii]</w:t>
      </w:r>
    </w:p>
    <w:p>
      <w:r>
        <w:pict>
          <v:rect style="width:0;height:1.5pt" o:hralign="center" o:hrstd="t" o:hr="t"/>
        </w:pict>
      </w:r>
    </w:p>
    <w:bookmarkEnd w:id="35"/>
    <w:bookmarkStart w:id="36" w:name="X6f3cd1707423f772d780660bbcd5b7c67f6b337"/>
    <w:p>
      <w:pPr>
        <w:pStyle w:val="Heading3"/>
      </w:pPr>
      <w:r>
        <w:t xml:space="preserve">II. Pozew o ustalenie bezskuteczności rozwiązania umowy, nakazanie przeniesienia własności lokalu i zapłatę (wraz z wnioskiem o zabezpieczenie)</w:t>
      </w:r>
    </w:p>
    <w:p>
      <w:pPr>
        <w:pStyle w:val="FirstParagraph"/>
      </w:pPr>
      <w:r>
        <w:rPr>
          <w:b/>
          <w:bCs/>
        </w:rPr>
        <w:t xml:space="preserve">Sąd pracy</w:t>
      </w:r>
      <w:r>
        <w:t xml:space="preserve"> </w:t>
      </w:r>
      <w:r>
        <w:t xml:space="preserve">(poprawka: właściwy sąd to sąd okręgowy ze względu na wartość przedmiotu sporu w sprawach deweloperskich; użytkownik wskazał</w:t>
      </w:r>
      <w:r>
        <w:t xml:space="preserve"> </w:t>
      </w:r>
      <w:r>
        <w:t xml:space="preserve">“sąd pracy”</w:t>
      </w:r>
      <w:r>
        <w:t xml:space="preserve">, ale to błąd w kwalifikacji sprawy)</w:t>
      </w:r>
      <w:r>
        <w:t xml:space="preserve"> </w:t>
      </w:r>
      <w:r>
        <w:rPr>
          <w:b/>
          <w:bCs/>
        </w:rPr>
        <w:t xml:space="preserve">[Pełna nazwa Sądu Okręgowego, np. Sąd Okręgowy w Warszawie]</w:t>
      </w:r>
      <w:r>
        <w:t xml:space="preserve"> </w:t>
      </w:r>
      <w:r>
        <w:rPr>
          <w:b/>
          <w:bCs/>
        </w:rPr>
        <w:t xml:space="preserve">[Adres Sądu]</w:t>
      </w:r>
      <w:r>
        <w:t xml:space="preserve"> </w:t>
      </w:r>
      <w:r>
        <w:rPr>
          <w:b/>
          <w:bCs/>
        </w:rPr>
        <w:t xml:space="preserve">[Kod pocztowy Miejscowość]</w:t>
      </w:r>
    </w:p>
    <w:p>
      <w:pPr>
        <w:pStyle w:val="BodyText"/>
      </w:pPr>
      <w:r>
        <w:rPr>
          <w:b/>
          <w:bCs/>
        </w:rPr>
        <w:t xml:space="preserve">POWÓD:</w:t>
      </w:r>
      <w:r>
        <w:t xml:space="preserve"> </w:t>
      </w:r>
      <w:r>
        <w:t xml:space="preserve">M. N.</w:t>
      </w:r>
      <w:r>
        <w:t xml:space="preserve"> </w:t>
      </w:r>
      <w:r>
        <w:t xml:space="preserve">PESEL: [PESEL Klienta]</w:t>
      </w:r>
      <w:r>
        <w:t xml:space="preserve"> </w:t>
      </w:r>
      <w:r>
        <w:t xml:space="preserve">[Adres zamieszkania Klienta]</w:t>
      </w:r>
      <w:r>
        <w:t xml:space="preserve"> </w:t>
      </w:r>
      <w:r>
        <w:t xml:space="preserve">[Kod pocztowy Miejscowość]</w:t>
      </w:r>
    </w:p>
    <w:p>
      <w:pPr>
        <w:pStyle w:val="BodyText"/>
      </w:pPr>
      <w:r>
        <w:rPr>
          <w:b/>
          <w:bCs/>
        </w:rPr>
        <w:t xml:space="preserve">REPREZENTOWANY PRZEZ PEŁNOMOCNIKA:</w:t>
      </w:r>
      <w:r>
        <w:t xml:space="preserve"> </w:t>
      </w:r>
      <w:r>
        <w:t xml:space="preserve">[Imię i Nazwisko Pełnomocnika]</w:t>
      </w:r>
      <w:r>
        <w:t xml:space="preserve"> </w:t>
      </w:r>
      <w:r>
        <w:t xml:space="preserve">Radca Prawny / Adwokat</w:t>
      </w:r>
      <w:r>
        <w:t xml:space="preserve"> </w:t>
      </w:r>
      <w:r>
        <w:t xml:space="preserve">Kancelaria Prawna [Nazwa Kancelarii]</w:t>
      </w:r>
      <w:r>
        <w:t xml:space="preserve"> </w:t>
      </w:r>
      <w:r>
        <w:t xml:space="preserve">[Adres Kancelarii]</w:t>
      </w:r>
      <w:r>
        <w:t xml:space="preserve"> </w:t>
      </w:r>
      <w:r>
        <w:t xml:space="preserve">[Kod pocztowy Miejscowość]</w:t>
      </w:r>
    </w:p>
    <w:p>
      <w:pPr>
        <w:pStyle w:val="BodyText"/>
      </w:pPr>
      <w:r>
        <w:rPr>
          <w:b/>
          <w:bCs/>
        </w:rPr>
        <w:t xml:space="preserve">POZWANY:</w:t>
      </w:r>
      <w:r>
        <w:t xml:space="preserve"> </w:t>
      </w:r>
      <w:r>
        <w:t xml:space="preserve">Deweloper D. sp. z o.o.</w:t>
      </w:r>
      <w:r>
        <w:t xml:space="preserve"> </w:t>
      </w:r>
      <w:r>
        <w:t xml:space="preserve">[Adres siedziby Dewelopera]</w:t>
      </w:r>
      <w:r>
        <w:t xml:space="preserve"> </w:t>
      </w:r>
      <w:r>
        <w:t xml:space="preserve">[Numer KRS Dewelopera]</w:t>
      </w:r>
      <w:r>
        <w:t xml:space="preserve"> </w:t>
      </w:r>
      <w:r>
        <w:t xml:space="preserve">[Kod pocztowy Miejscowość]</w:t>
      </w:r>
    </w:p>
    <w:p>
      <w:pPr>
        <w:pStyle w:val="BodyText"/>
      </w:pPr>
      <w:r>
        <w:rPr>
          <w:b/>
          <w:bCs/>
        </w:rPr>
        <w:t xml:space="preserve">WARTOŚĆ PRZEDMIOTU SPORU:</w:t>
      </w:r>
      <w:r>
        <w:t xml:space="preserve"> </w:t>
      </w:r>
      <w:r>
        <w:t xml:space="preserve">586 986,00 zł (cena lokalu po „korekcie” plus roszczenia pieniężne) + 93 588,55 zł = 680 574,55 zł</w:t>
      </w:r>
      <w:r>
        <w:t xml:space="preserve"> </w:t>
      </w:r>
      <w:r>
        <w:t xml:space="preserve">(Na wartość przedmiotu sporu składa się wartość lokalu (586 986,00 zł) oraz dochodzone roszczenie pieniężne (93 588,55 zł). Zgodnie z art. 19 § 1 KPC (brak w</w:t>
      </w:r>
      <w:r>
        <w:t xml:space="preserve"> </w:t>
      </w:r>
      <w:r>
        <w:t xml:space="preserve">“Obecny stan prawny”</w:t>
      </w:r>
      <w:r>
        <w:t xml:space="preserve">), w sprawach o prawa majątkowe właściwość sądu okręgowego ustala się, gdy wartość przedmiotu sporu przekracza siedemdziesiąt pięć tysięcy złotych.)</w:t>
      </w:r>
    </w:p>
    <w:p>
      <w:pPr>
        <w:pStyle w:val="BodyText"/>
      </w:pPr>
      <w:r>
        <w:rPr>
          <w:b/>
          <w:bCs/>
        </w:rPr>
        <w:t xml:space="preserve">OPŁATA SĄDOWA:</w:t>
      </w:r>
      <w:r>
        <w:t xml:space="preserve"> </w:t>
      </w:r>
      <w:r>
        <w:t xml:space="preserve">[należna opłata od WPS]</w:t>
      </w:r>
    </w:p>
    <w:p>
      <w:pPr>
        <w:pStyle w:val="BodyText"/>
      </w:pPr>
      <w:r>
        <w:rPr>
          <w:b/>
          <w:bCs/>
        </w:rPr>
        <w:t xml:space="preserve">POZEW O UZNALENIE CZYNNOŚCI PRAWNEJ ZA BEZSKUTECZNĄ, NAKAZANIE PRZENIESIENIA WŁASNOŚCI LOKALU ORAZ ZAPŁATĘ WRAZ Z WNIOSKIEM O ZABEZPIECZENIE POWÓDZTWA</w:t>
      </w:r>
    </w:p>
    <w:p>
      <w:pPr>
        <w:pStyle w:val="BodyText"/>
      </w:pPr>
      <w:r>
        <w:rPr>
          <w:b/>
          <w:bCs/>
        </w:rPr>
        <w:t xml:space="preserve">Wnoszę o:</w:t>
      </w:r>
    </w:p>
    <w:p>
      <w:pPr>
        <w:pStyle w:val="Compact"/>
        <w:numPr>
          <w:ilvl w:val="0"/>
          <w:numId w:val="1029"/>
        </w:numPr>
      </w:pPr>
      <w:r>
        <w:t xml:space="preserve">Ustalenie, że jednostronna korekta ceny lokalu mieszkalnego A-12 w inwestycji [Nazwa Inwestycji], zawarta w piśmie Pozwanego nr INF/████/███ z dnia 12 maja 2024 r., a polegająca na podwyższeniu ceny jednostkowej oraz żądaniu dopłaty 26 986,00 zł, jest bezskuteczna wobec Powoda;</w:t>
      </w:r>
    </w:p>
    <w:p>
      <w:pPr>
        <w:pStyle w:val="Compact"/>
        <w:numPr>
          <w:ilvl w:val="0"/>
          <w:numId w:val="1029"/>
        </w:numPr>
      </w:pPr>
      <w:r>
        <w:t xml:space="preserve">Ustalenie, że rozwiązanie umowy deweloperskiej nr UD/████/███ z dnia 10 marca 2023 r., dokonane przez Pozwanego pismem nr ROZ/████/███ z dnia 20 czerwca 2024 r., jest bezskuteczne;</w:t>
      </w:r>
    </w:p>
    <w:p>
      <w:pPr>
        <w:pStyle w:val="Compact"/>
        <w:numPr>
          <w:ilvl w:val="0"/>
          <w:numId w:val="1029"/>
        </w:numPr>
      </w:pPr>
      <w:r>
        <w:t xml:space="preserve">Nakazanie Pozwanemu złożenia oświadczenia woli o przeniesieniu na rzecz Powoda prawa własności lokalu mieszkalnego A-12, położonego w inwestycji [Nazwa Inwestycji], o powierzchni 52,30 m², za cenę 542 411,45 zł, wolnego od obciążeń;</w:t>
      </w:r>
    </w:p>
    <w:p>
      <w:pPr>
        <w:pStyle w:val="Compact"/>
        <w:numPr>
          <w:ilvl w:val="0"/>
          <w:numId w:val="1029"/>
        </w:numPr>
      </w:pPr>
      <w:r>
        <w:t xml:space="preserve">Zasądzenie od Pozwanego na rzecz Powoda kwoty 93 588,55 zł (słownie: dziewięćdziesiąt trzy tysiące pięćset osiemdziesiąt osiem złotych i pięćdziesiąt pięć groszy) wraz z odsetkami ustawowymi za opóźnienie od dnia 21 czerwca 2024 r. do dnia zapłaty;</w:t>
      </w:r>
    </w:p>
    <w:p>
      <w:pPr>
        <w:pStyle w:val="Compact"/>
        <w:numPr>
          <w:ilvl w:val="0"/>
          <w:numId w:val="1029"/>
        </w:numPr>
      </w:pPr>
      <w:r>
        <w:t xml:space="preserve">Zasądzenie od Pozwanego na rzecz Powoda zwrotu kosztów postępowania, w tym kosztów zastępstwa procesowego według norm przepisanych;</w:t>
      </w:r>
    </w:p>
    <w:p>
      <w:pPr>
        <w:pStyle w:val="Compact"/>
        <w:numPr>
          <w:ilvl w:val="0"/>
          <w:numId w:val="1029"/>
        </w:numPr>
      </w:pPr>
      <w:r>
        <w:t xml:space="preserve">Dopuszczenie i przeprowadzenie dowodów wskazanych w uzasadnieniu pozwu.</w:t>
      </w:r>
    </w:p>
    <w:p>
      <w:pPr>
        <w:pStyle w:val="FirstParagraph"/>
      </w:pPr>
      <w:r>
        <w:rPr>
          <w:b/>
          <w:bCs/>
        </w:rPr>
        <w:t xml:space="preserve">Wnoszę także o udzielenie zabezpieczenia powództwa poprzez:</w:t>
      </w:r>
      <w:r>
        <w:t xml:space="preserve"> </w:t>
      </w:r>
      <w:r>
        <w:t xml:space="preserve">1. Zarządzenie wpisu ostrzeżenia w dziale III księgi wieczystej prowadzonej dla nieruchomości gruntowej, na której powstaje lokal mieszkalny A-12, o toczącym się postępowaniu o ustalenie bezskuteczności rozwiązania umowy deweloperskiej i nakazanie przeniesienia własności lokalu.</w:t>
      </w:r>
    </w:p>
    <w:p>
      <w:pPr>
        <w:pStyle w:val="BodyText"/>
      </w:pPr>
      <w:r>
        <w:rPr>
          <w:b/>
          <w:bCs/>
        </w:rPr>
        <w:t xml:space="preserve">Uzasadnienie</w:t>
      </w:r>
    </w:p>
    <w:p>
      <w:pPr>
        <w:pStyle w:val="BodyText"/>
      </w:pPr>
      <w:r>
        <w:rPr>
          <w:b/>
          <w:bCs/>
        </w:rPr>
        <w:t xml:space="preserve">I. Stan faktyczny:</w:t>
      </w:r>
    </w:p>
    <w:p>
      <w:pPr>
        <w:pStyle w:val="Compact"/>
        <w:numPr>
          <w:ilvl w:val="0"/>
          <w:numId w:val="1030"/>
        </w:numPr>
      </w:pPr>
      <w:r>
        <w:t xml:space="preserve">W dniu 10 marca 2023 r. M. N. zawarł z Pozwanym Deweloper D. sp. z o.o. umowę deweloperską nr UD/████/███, której przedmiotem był zakup lokalu mieszkalnego A-12 o pierwotnej powierzchni 54,00 m² za cenę 560 000,00 zł [dowód: umowa deweloperska nr UD/████/███ z 10.03.2023 r. – załącznik 1] [Źródło 1]. Cena jednostkowa lokalu wynosiła 10 370,37 zł/m² [Źródło 1].</w:t>
      </w:r>
    </w:p>
    <w:p>
      <w:pPr>
        <w:pStyle w:val="Compact"/>
        <w:numPr>
          <w:ilvl w:val="0"/>
          <w:numId w:val="1030"/>
        </w:numPr>
      </w:pPr>
      <w:r>
        <w:t xml:space="preserve">W dniu 12 maja 2024 r. Pozwany przesłał Powodowi pismo nr INF/████/███, w którym poinformował o jednostronnej korekcie powierzchni lokalu do 52,30 m² (tj. o zmniejszenie o 1,70 m²), a także o wzroście ceny jednostkowej do 11 220,00 zł/m² i żądaniu dopłaty 26 986,00 zł, co miało skutkować nową ceną całkowitą 586 986,00 zł [dowód: pismo Pozwanego nr INF/████/███ z 12.05.2024 r. – załącznik 2] [Źródło 1].</w:t>
      </w:r>
    </w:p>
    <w:p>
      <w:pPr>
        <w:pStyle w:val="Compact"/>
        <w:numPr>
          <w:ilvl w:val="0"/>
          <w:numId w:val="1030"/>
        </w:numPr>
      </w:pPr>
      <w:r>
        <w:t xml:space="preserve">Pozwany powołał się na § 9 ust. 3 umowy deweloperskiej, który zastrzegał prawo do korekty powierzchni w granicach ±5% i</w:t>
      </w:r>
      <w:r>
        <w:t xml:space="preserve"> </w:t>
      </w:r>
      <w:r>
        <w:t xml:space="preserve">“odpowiedniej korekty ceny według ceny jednostkowej z dnia zawarcia umowy”</w:t>
      </w:r>
      <w:r>
        <w:t xml:space="preserve"> </w:t>
      </w:r>
      <w:r>
        <w:t xml:space="preserve">[Źródło 1].</w:t>
      </w:r>
    </w:p>
    <w:p>
      <w:pPr>
        <w:pStyle w:val="Compact"/>
        <w:numPr>
          <w:ilvl w:val="0"/>
          <w:numId w:val="1030"/>
        </w:numPr>
      </w:pPr>
      <w:r>
        <w:t xml:space="preserve">Powód niezwłocznie zgłosił sprzeciw i reklamację, kwestionując bezpodstawne podwyższenie ceny jednostkowej i żądając utrzymania pierwotnej ceny lub proporcjonalnego obniżenia ceny przy zachowaniu pierwotnej ceny jednostkowej [dowód: korespondencja e-mail/pismowa – załącznik 3] [Źródło 1].</w:t>
      </w:r>
    </w:p>
    <w:p>
      <w:pPr>
        <w:pStyle w:val="Compact"/>
        <w:numPr>
          <w:ilvl w:val="0"/>
          <w:numId w:val="1030"/>
        </w:numPr>
      </w:pPr>
      <w:r>
        <w:t xml:space="preserve">Pozwany odrzucił sprzeciw Powoda i zażądał dopłaty w terminie 14 dni. Wobec braku zapłaty, pismem nr ROZ/████/███ z dnia 20 czerwca 2024 r. rozwiązał umowę deweloperską i zatrzymał wszystkie wpłacone przez Powoda kwoty (łącznie 76 000,00 zł) jako</w:t>
      </w:r>
      <w:r>
        <w:t xml:space="preserve"> </w:t>
      </w:r>
      <w:r>
        <w:t xml:space="preserve">“kary umowne/odszkodowanie”</w:t>
      </w:r>
      <w:r>
        <w:t xml:space="preserve"> </w:t>
      </w:r>
      <w:r>
        <w:t xml:space="preserve">[dowód: pismo Pozwanego nr ROZ/████/███ z 20.06.2024 r. – załącznik 4] [Źródło 1].</w:t>
      </w:r>
    </w:p>
    <w:p>
      <w:pPr>
        <w:pStyle w:val="Compact"/>
        <w:numPr>
          <w:ilvl w:val="0"/>
          <w:numId w:val="1030"/>
        </w:numPr>
      </w:pPr>
      <w:r>
        <w:t xml:space="preserve">Pozwany podjął również działania zmierzające do zbycia lokalu A-12 innemu nabywcy [Źródło 1]. Powód dokonał wszystkich wpłat zgodnie z umową [dowód: potwierdzenia wpłat – załącznik 5].</w:t>
      </w:r>
    </w:p>
    <w:p>
      <w:pPr>
        <w:pStyle w:val="FirstParagraph"/>
      </w:pPr>
      <w:r>
        <w:rPr>
          <w:b/>
          <w:bCs/>
        </w:rPr>
        <w:t xml:space="preserve">II. Uzasadnienie prawne żądania:</w:t>
      </w:r>
    </w:p>
    <w:p>
      <w:pPr>
        <w:pStyle w:val="Compact"/>
        <w:numPr>
          <w:ilvl w:val="0"/>
          <w:numId w:val="1031"/>
        </w:numPr>
      </w:pPr>
      <w:r>
        <w:rPr>
          <w:b/>
          <w:bCs/>
        </w:rPr>
        <w:t xml:space="preserve">Bezskuteczność korekty ceny:</w:t>
      </w:r>
      <w:r>
        <w:t xml:space="preserve"> </w:t>
      </w:r>
      <w:r>
        <w:t xml:space="preserve">Postanowienie § 9 ust. 3 umowy deweloperskiej wyraźnie stanowi, że korekta ceny ma nastąpić</w:t>
      </w:r>
      <w:r>
        <w:t xml:space="preserve"> </w:t>
      </w:r>
      <w:r>
        <w:t xml:space="preserve">“według ceny jednostkowej z dnia zawarcia umowy”</w:t>
      </w:r>
      <w:r>
        <w:t xml:space="preserve"> </w:t>
      </w:r>
      <w:r>
        <w:t xml:space="preserve">[Źródło 1]. Pierwotna cena jednostkowa wynosiła 10 370,37 zł/m² [Źródło 1]. Działanie Pozwanego, polegające na zwiększeniu ceny jednostkowej do 11 220,00 zł/m² i żądaniu dopłaty, jest sprzeczne z literalnym brzmieniem tej klauzuli. Klauzula ta, w interpretacji i zastosowaniu przez Pozwanego, narusza dobre obyczaje i rażąco godzi w interesy konsumenta, co może świadczyć o jej abuzywnym charakterze. Zatem prawidłowa cena lokalu o powierzchni 52,30 m² powinna wynosić 542 411,45 zł (52,30 m² x 10 370,37 zł/m²). Powód jest uprawniony do zwrotu nadpłaconej kwoty 17 588,55 zł.</w:t>
      </w:r>
    </w:p>
    <w:p>
      <w:pPr>
        <w:pStyle w:val="Compact"/>
        <w:numPr>
          <w:ilvl w:val="0"/>
          <w:numId w:val="1031"/>
        </w:numPr>
      </w:pPr>
      <w:r>
        <w:rPr>
          <w:b/>
          <w:bCs/>
        </w:rPr>
        <w:t xml:space="preserve">Bezskuteczność rozwiązania umowy:</w:t>
      </w:r>
      <w:r>
        <w:t xml:space="preserve"> </w:t>
      </w:r>
      <w:r>
        <w:t xml:space="preserve">Rozwiązanie umowy przez Pozwanego było bezpodstawne. Powód nie był w zwłoce z zapłatą, gdyż żądana dopłata była niezgodna z umową. W takiej sytuacji Pozwanemu nie przysługiwało prawo do rozwiązania umowy. Czynność prawna rozwiązania umowy jest zatem bezskuteczna, a umowa deweloperska nadal wiąże strony.</w:t>
      </w:r>
    </w:p>
    <w:p>
      <w:pPr>
        <w:pStyle w:val="Compact"/>
        <w:numPr>
          <w:ilvl w:val="0"/>
          <w:numId w:val="1031"/>
        </w:numPr>
      </w:pPr>
      <w:r>
        <w:rPr>
          <w:b/>
          <w:bCs/>
        </w:rPr>
        <w:t xml:space="preserve">Nieważność zatrzymania wpłat:</w:t>
      </w:r>
      <w:r>
        <w:t xml:space="preserve"> </w:t>
      </w:r>
      <w:r>
        <w:t xml:space="preserve">Zatrzymanie kwoty 76 000,00 zł jako</w:t>
      </w:r>
      <w:r>
        <w:t xml:space="preserve"> </w:t>
      </w:r>
      <w:r>
        <w:t xml:space="preserve">“kary umownej/odszkodowania”</w:t>
      </w:r>
      <w:r>
        <w:t xml:space="preserve"> </w:t>
      </w:r>
      <w:r>
        <w:t xml:space="preserve">jest niedopuszczalne. Roszczenie o zapłatę dopłaty ma charakter pieniężny, a karę umowną można zastrzec jedynie za niewykonanie zobowiązania niepieniężnego (art. 483 § 1 Kodeksu cywilnego, zob. [6]). Postanowienie § 13 ust. 2 umowy w tym zakresie jest nieważne. Zatrzymanie środków jako odszkodowania wymagałoby wykazania realnej szkody, czego Pozwany nie uczynił. Kwota ta stanowi nienależne świadczenie i podlega zwrotowi.</w:t>
      </w:r>
    </w:p>
    <w:p>
      <w:pPr>
        <w:pStyle w:val="Compact"/>
        <w:numPr>
          <w:ilvl w:val="0"/>
          <w:numId w:val="1031"/>
        </w:numPr>
      </w:pPr>
      <w:r>
        <w:rPr>
          <w:b/>
          <w:bCs/>
        </w:rPr>
        <w:t xml:space="preserve">Roszczenie o przeniesienie własności:</w:t>
      </w:r>
      <w:r>
        <w:t xml:space="preserve"> </w:t>
      </w:r>
      <w:r>
        <w:t xml:space="preserve">Z uwagi na bezskuteczność rozwiązania umowy, Pozwany jest nadal zobowiązany do przeniesienia własności lokalu na Powoda po spełnieniu warunków umowy.</w:t>
      </w:r>
    </w:p>
    <w:p>
      <w:pPr>
        <w:pStyle w:val="Compact"/>
        <w:numPr>
          <w:ilvl w:val="0"/>
          <w:numId w:val="1031"/>
        </w:numPr>
      </w:pPr>
      <w:r>
        <w:rPr>
          <w:b/>
          <w:bCs/>
        </w:rPr>
        <w:t xml:space="preserve">Odsetki:</w:t>
      </w:r>
      <w:r>
        <w:t xml:space="preserve"> </w:t>
      </w:r>
      <w:r>
        <w:t xml:space="preserve">Odsetki ustawowe za opóźnienie należne są od kwoty 93 588,55 zł od dnia 21 czerwca 2024 r., tj. od dnia następującego po bezskutecznym rozwiązaniu umowy i bezprawnym zatrzymaniu wpłat.</w:t>
      </w:r>
    </w:p>
    <w:p>
      <w:pPr>
        <w:pStyle w:val="FirstParagraph"/>
      </w:pPr>
      <w:r>
        <w:rPr>
          <w:b/>
          <w:bCs/>
        </w:rPr>
        <w:t xml:space="preserve">III. Uzasadnienie wniosku o zabezpieczenie:</w:t>
      </w:r>
    </w:p>
    <w:p>
      <w:pPr>
        <w:pStyle w:val="Compact"/>
        <w:numPr>
          <w:ilvl w:val="0"/>
          <w:numId w:val="1032"/>
        </w:numPr>
      </w:pPr>
      <w:r>
        <w:t xml:space="preserve">Interes prawny w udzieleniu zabezpieczenia wynika z faktu, że Pozwany podjął działania zmierzające do zbycia lokalu A-12 innemu nabywcy [Źródło 1]. Istnieje realna obawa, że brak zabezpieczenia uniemożliwi lub poważnie utrudni wykonanie przyszłego orzeczenia sądowego o nakazaniu przeniesienia własności lokalu.</w:t>
      </w:r>
    </w:p>
    <w:p>
      <w:pPr>
        <w:pStyle w:val="Compact"/>
        <w:numPr>
          <w:ilvl w:val="0"/>
          <w:numId w:val="1032"/>
        </w:numPr>
      </w:pPr>
      <w:r>
        <w:t xml:space="preserve">Uprawdopodobnienie roszczenia wynika z przedstawionej argumentacji prawnej i zgromadzonych dowodów, które jednoznacznie wskazują na bezskuteczność działań Pozwanego i prawa Powoda do lokalu.</w:t>
      </w:r>
    </w:p>
    <w:p>
      <w:pPr>
        <w:pStyle w:val="Compact"/>
        <w:numPr>
          <w:ilvl w:val="0"/>
          <w:numId w:val="1032"/>
        </w:numPr>
      </w:pPr>
      <w:r>
        <w:t xml:space="preserve">Wpis ostrzeżenia do księgi wieczystej jest odpowiednim i proporcjonalnym sposobem zabezpieczenia, który nie obciąża Pozwanego w nadmierny sposób, a jednocześnie chroni interes Powoda.</w:t>
      </w:r>
    </w:p>
    <w:p>
      <w:pPr>
        <w:pStyle w:val="FirstParagraph"/>
      </w:pPr>
      <w:r>
        <w:rPr>
          <w:b/>
          <w:bCs/>
        </w:rPr>
        <w:t xml:space="preserve">IV. Próby pozasądowego rozwiązania sporu:</w:t>
      </w:r>
    </w:p>
    <w:p>
      <w:pPr>
        <w:pStyle w:val="BodyText"/>
      </w:pPr>
      <w:r>
        <w:t xml:space="preserve">Strony podjęły próbę pozasądowego rozwiązania sporu poprzez korespondencję i reklamację, jednak Pozwany odrzucił żądania Powoda [Źródło 1]. Powód oczekuje dalszych negocjacji.</w:t>
      </w:r>
    </w:p>
    <w:p>
      <w:pPr>
        <w:pStyle w:val="BodyText"/>
      </w:pPr>
      <w:r>
        <w:rPr>
          <w:b/>
          <w:bCs/>
        </w:rPr>
        <w:t xml:space="preserve">V. Wnioski dowodowe:</w:t>
      </w:r>
    </w:p>
    <w:p>
      <w:pPr>
        <w:pStyle w:val="Compact"/>
        <w:numPr>
          <w:ilvl w:val="0"/>
          <w:numId w:val="1033"/>
        </w:numPr>
      </w:pPr>
      <w:r>
        <w:t xml:space="preserve">Dowód z dokumentu: umowa deweloperska nr UD/████/███ z dnia 10 marca 2023 r. – na okoliczność treści i warunków zawartej umowy.</w:t>
      </w:r>
    </w:p>
    <w:p>
      <w:pPr>
        <w:pStyle w:val="Compact"/>
        <w:numPr>
          <w:ilvl w:val="0"/>
          <w:numId w:val="1033"/>
        </w:numPr>
      </w:pPr>
      <w:r>
        <w:t xml:space="preserve">Dowód z dokumentu: pismo Pozwanego nr INF/████/███ z dnia 12 maja 2024 r. – na okoliczność jednostronnej korekty powierzchni i ceny.</w:t>
      </w:r>
    </w:p>
    <w:p>
      <w:pPr>
        <w:pStyle w:val="Compact"/>
        <w:numPr>
          <w:ilvl w:val="0"/>
          <w:numId w:val="1033"/>
        </w:numPr>
      </w:pPr>
      <w:r>
        <w:t xml:space="preserve">Dowód z dokumentu: korespondencja e-mail/pismowa (sprzeciw Powoda i odmowa Pozwanego) – na okoliczność zgłoszenia sprzeciwu i bezskutecznych prób polubownego rozwiązania sporu.</w:t>
      </w:r>
    </w:p>
    <w:p>
      <w:pPr>
        <w:pStyle w:val="Compact"/>
        <w:numPr>
          <w:ilvl w:val="0"/>
          <w:numId w:val="1033"/>
        </w:numPr>
      </w:pPr>
      <w:r>
        <w:t xml:space="preserve">Dowód z dokumentu: pismo Pozwanego nr ROZ/████/███ z dnia 20 czerwca 2024 r. – na okoliczność rozwiązania umowy i zatrzymania wpłat.</w:t>
      </w:r>
    </w:p>
    <w:p>
      <w:pPr>
        <w:pStyle w:val="Compact"/>
        <w:numPr>
          <w:ilvl w:val="0"/>
          <w:numId w:val="1033"/>
        </w:numPr>
      </w:pPr>
      <w:r>
        <w:t xml:space="preserve">Dowód z dokumentu: potwierdzenia wpłat na rzecz Pozwanego – na okoliczność wysokości wpłaconych środków.</w:t>
      </w:r>
    </w:p>
    <w:p>
      <w:pPr>
        <w:pStyle w:val="Compact"/>
        <w:numPr>
          <w:ilvl w:val="0"/>
          <w:numId w:val="1033"/>
        </w:numPr>
      </w:pPr>
      <w:r>
        <w:t xml:space="preserve">Dowód z opinii biegłego z zakresu budownictwa i rzeczoznawstwa majątkowego – na okoliczność rzeczywistej powierzchni lokalu A-12 oraz rynkowej wartości lokalu, a także oceny prawidłowości wyliczeń dewelopera.</w:t>
      </w:r>
    </w:p>
    <w:p>
      <w:pPr>
        <w:pStyle w:val="Compact"/>
        <w:numPr>
          <w:ilvl w:val="0"/>
          <w:numId w:val="1033"/>
        </w:numPr>
      </w:pPr>
      <w:r>
        <w:t xml:space="preserve">Dowód z przesłuchania stron: M. N. – na okoliczność negocjacji, okoliczności zawarcia umowy, działań Pozwanego oraz poniesionej szkody.</w:t>
      </w:r>
    </w:p>
    <w:p>
      <w:pPr>
        <w:pStyle w:val="Compact"/>
        <w:numPr>
          <w:ilvl w:val="0"/>
          <w:numId w:val="1033"/>
        </w:numPr>
      </w:pPr>
      <w:r>
        <w:t xml:space="preserve">Dowód z dokumentu: wydruk z księgi wieczystej nieruchomości – na okoliczność jej statusu prawnego.</w:t>
      </w:r>
    </w:p>
    <w:p>
      <w:pPr>
        <w:pStyle w:val="Compact"/>
        <w:numPr>
          <w:ilvl w:val="0"/>
          <w:numId w:val="1033"/>
        </w:numPr>
      </w:pPr>
      <w:r>
        <w:t xml:space="preserve">Wniosek o wezwanie Pozwanego do przedłożenia dowodów dokumentujących działania zmierzające do zbycia lokalu A-12 innemu nabywcy (jeśli Powód nie posiada takich dokumentów).</w:t>
      </w:r>
    </w:p>
    <w:p>
      <w:pPr>
        <w:pStyle w:val="FirstParagraph"/>
      </w:pPr>
      <w:r>
        <w:rPr>
          <w:b/>
          <w:bCs/>
        </w:rPr>
        <w:t xml:space="preserve">Załączniki:</w:t>
      </w:r>
      <w:r>
        <w:t xml:space="preserve"> </w:t>
      </w:r>
      <w:r>
        <w:t xml:space="preserve">1. Umowa deweloperska nr UD/████/███ z dnia 10 marca 2023 r.</w:t>
      </w:r>
      <w:r>
        <w:t xml:space="preserve"> </w:t>
      </w:r>
      <w:r>
        <w:t xml:space="preserve">2. Pismo Pozwanego nr INF/████/███ z dnia 12 maja 2024 r.</w:t>
      </w:r>
      <w:r>
        <w:t xml:space="preserve"> </w:t>
      </w:r>
      <w:r>
        <w:t xml:space="preserve">3. Korespondencja e-mail/pismowa (sprzeciw Powoda i odmowa Pozwanego).</w:t>
      </w:r>
      <w:r>
        <w:t xml:space="preserve"> </w:t>
      </w:r>
      <w:r>
        <w:t xml:space="preserve">4. Pismo Pozwanego nr ROZ/████/███ z dnia 20 czerwca 2024 r.</w:t>
      </w:r>
      <w:r>
        <w:t xml:space="preserve"> </w:t>
      </w:r>
      <w:r>
        <w:t xml:space="preserve">5. Potwierdzenia wpłat na rzecz Pozwanego.</w:t>
      </w:r>
      <w:r>
        <w:t xml:space="preserve"> </w:t>
      </w:r>
      <w:r>
        <w:t xml:space="preserve">6. Wydruk z księgi wieczystej nieruchomości (aktualny).</w:t>
      </w:r>
      <w:r>
        <w:t xml:space="preserve"> </w:t>
      </w:r>
      <w:r>
        <w:t xml:space="preserve">7. Odpis pozwu wraz z załącznikami dla Pozwanego.</w:t>
      </w:r>
      <w:r>
        <w:t xml:space="preserve"> </w:t>
      </w:r>
      <w:r>
        <w:t xml:space="preserve">8. Potwierdzenie uiszczenia opłaty sądowej.</w:t>
      </w:r>
    </w:p>
    <w:p>
      <w:pPr>
        <w:pStyle w:val="BodyText"/>
      </w:pPr>
      <w:r>
        <w:rPr>
          <w:b/>
          <w:bCs/>
        </w:rPr>
        <w:t xml:space="preserve">Z poważaniem,</w:t>
      </w:r>
      <w:r>
        <w:t xml:space="preserve"> </w:t>
      </w:r>
      <w:r>
        <w:t xml:space="preserve">[Podpis Pełnomocnika]</w:t>
      </w:r>
    </w:p>
    <w:p>
      <w:r>
        <w:pict>
          <v:rect style="width:0;height:1.5pt" o:hralign="center" o:hrstd="t" o:hr="t"/>
        </w:pict>
      </w:r>
    </w:p>
    <w:bookmarkEnd w:id="36"/>
    <w:bookmarkStart w:id="37" w:name="Xb68aad6d9b48b67c35ab16ce6b62efaaa316ab4"/>
    <w:p>
      <w:pPr>
        <w:pStyle w:val="Heading3"/>
      </w:pPr>
      <w:r>
        <w:t xml:space="preserve">III. Zawiadomienie do Prezesa Urzędu Ochrony Konkurencji i Konsumentów (UOKiK)</w:t>
      </w:r>
    </w:p>
    <w:p>
      <w:pPr>
        <w:pStyle w:val="FirstParagraph"/>
      </w:pPr>
      <w:r>
        <w:rPr>
          <w:b/>
          <w:bCs/>
        </w:rPr>
        <w:t xml:space="preserve">MIEJSCOWOŚĆ, DNIA RRRR-MM-DD</w:t>
      </w:r>
    </w:p>
    <w:p>
      <w:pPr>
        <w:pStyle w:val="BodyText"/>
      </w:pPr>
      <w:r>
        <w:rPr>
          <w:b/>
          <w:bCs/>
        </w:rPr>
        <w:t xml:space="preserve">ADRESAT:</w:t>
      </w:r>
      <w:r>
        <w:t xml:space="preserve"> </w:t>
      </w:r>
      <w:r>
        <w:t xml:space="preserve">Prezes Urzędu Ochrony Konkurencji i Konsumentów</w:t>
      </w:r>
      <w:r>
        <w:t xml:space="preserve"> </w:t>
      </w:r>
      <w:r>
        <w:t xml:space="preserve">Plac Powstańców Warszawy 1</w:t>
      </w:r>
      <w:r>
        <w:t xml:space="preserve"> </w:t>
      </w:r>
      <w:r>
        <w:t xml:space="preserve">00-950 Warszawa</w:t>
      </w:r>
    </w:p>
    <w:p>
      <w:pPr>
        <w:pStyle w:val="BodyText"/>
      </w:pPr>
      <w:r>
        <w:rPr>
          <w:b/>
          <w:bCs/>
        </w:rPr>
        <w:t xml:space="preserve">Zawiadamiający:</w:t>
      </w:r>
      <w:r>
        <w:t xml:space="preserve"> </w:t>
      </w:r>
      <w:r>
        <w:t xml:space="preserve">M. N.</w:t>
      </w:r>
      <w:r>
        <w:t xml:space="preserve"> </w:t>
      </w:r>
      <w:r>
        <w:t xml:space="preserve">[Adres Klienta]</w:t>
      </w:r>
      <w:r>
        <w:t xml:space="preserve"> </w:t>
      </w:r>
      <w:r>
        <w:t xml:space="preserve">[Kod pocztowy Miejscowość]</w:t>
      </w:r>
      <w:r>
        <w:t xml:space="preserve"> </w:t>
      </w:r>
      <w:r>
        <w:t xml:space="preserve">E-mail: [Adres e-mail Klienta]</w:t>
      </w:r>
      <w:r>
        <w:t xml:space="preserve"> </w:t>
      </w:r>
      <w:r>
        <w:t xml:space="preserve">Telefon: [Numer telefonu Klienta]</w:t>
      </w:r>
    </w:p>
    <w:p>
      <w:pPr>
        <w:pStyle w:val="BodyText"/>
      </w:pPr>
      <w:r>
        <w:rPr>
          <w:b/>
          <w:bCs/>
        </w:rPr>
        <w:t xml:space="preserve">REPREZENTOWANY PRZEZ PEŁNOMOCNIKA:</w:t>
      </w:r>
      <w:r>
        <w:t xml:space="preserve"> </w:t>
      </w:r>
      <w:r>
        <w:t xml:space="preserve">[Imię i Nazwisko Pełnomocnika]</w:t>
      </w:r>
      <w:r>
        <w:t xml:space="preserve"> </w:t>
      </w:r>
      <w:r>
        <w:t xml:space="preserve">Radca Prawny / Adwokat</w:t>
      </w:r>
      <w:r>
        <w:t xml:space="preserve"> </w:t>
      </w:r>
      <w:r>
        <w:t xml:space="preserve">Kancelaria Prawna [Nazwa Kancelarii]</w:t>
      </w:r>
      <w:r>
        <w:t xml:space="preserve"> </w:t>
      </w:r>
      <w:r>
        <w:t xml:space="preserve">[Adres Kancelarii]</w:t>
      </w:r>
      <w:r>
        <w:t xml:space="preserve"> </w:t>
      </w:r>
      <w:r>
        <w:t xml:space="preserve">[Kod pocztowy Miejscowość]</w:t>
      </w:r>
    </w:p>
    <w:p>
      <w:pPr>
        <w:pStyle w:val="BodyText"/>
      </w:pPr>
      <w:r>
        <w:rPr>
          <w:b/>
          <w:bCs/>
        </w:rPr>
        <w:t xml:space="preserve">DOTYCZY:</w:t>
      </w:r>
      <w:r>
        <w:t xml:space="preserve"> </w:t>
      </w:r>
      <w:r>
        <w:t xml:space="preserve">Zawiadomienia o stosowaniu przez dewelopera Deweloper D. sp. z o.o. (KRS: [Numer KRS Dewelopera], adres: [Adres Dewelopera]) praktyk naruszających zbiorowe interesy konsumentów, w szczególności poprzez stosowanie niedozwolonych postanowień umownych i bezprawne rozwiązywanie umów deweloperskich.</w:t>
      </w:r>
    </w:p>
    <w:p>
      <w:pPr>
        <w:pStyle w:val="BodyText"/>
      </w:pPr>
      <w:r>
        <w:rPr>
          <w:b/>
          <w:bCs/>
        </w:rPr>
        <w:t xml:space="preserve">Szanowny Panie Prezesie,</w:t>
      </w:r>
    </w:p>
    <w:p>
      <w:pPr>
        <w:pStyle w:val="BodyText"/>
      </w:pPr>
      <w:r>
        <w:t xml:space="preserve">Działając w imieniu M. N., niniejszym składamy zawiadomienie o podejrzeniu stosowania przez Deweloper D. sp. z o.o. (dalej:</w:t>
      </w:r>
      <w:r>
        <w:t xml:space="preserve"> </w:t>
      </w:r>
      <w:r>
        <w:t xml:space="preserve">“Deweloper”</w:t>
      </w:r>
      <w:r>
        <w:t xml:space="preserve">) praktyk naruszających zbiorowe interesy konsumentów, w szczególności poprzez naruszanie zasad uczciwej konkurencji i dobrych obyczajów w obrocie konsumenckim, a także poprzez stosowanie niedozwolonych postanowień umownych.</w:t>
      </w:r>
    </w:p>
    <w:p>
      <w:pPr>
        <w:pStyle w:val="BodyText"/>
      </w:pPr>
      <w:r>
        <w:rPr>
          <w:b/>
          <w:bCs/>
        </w:rPr>
        <w:t xml:space="preserve">I. Opis stanu faktycznego:</w:t>
      </w:r>
    </w:p>
    <w:p>
      <w:pPr>
        <w:pStyle w:val="Compact"/>
        <w:numPr>
          <w:ilvl w:val="0"/>
          <w:numId w:val="1034"/>
        </w:numPr>
      </w:pPr>
      <w:r>
        <w:t xml:space="preserve">W dniu 10 marca 2023 r. mój Mocodawca, M. N., zawarł z Deweloperem umowę deweloperską nr UD/████/███ na zakup lokalu mieszkalnego A-12 o pierwotnej powierzchni 54,00 m² za cenę 560 000,00 zł [Załącznik 1: Umowa deweloperska] [Źródło 1].</w:t>
      </w:r>
    </w:p>
    <w:p>
      <w:pPr>
        <w:pStyle w:val="Compact"/>
        <w:numPr>
          <w:ilvl w:val="0"/>
          <w:numId w:val="1034"/>
        </w:numPr>
      </w:pPr>
      <w:r>
        <w:t xml:space="preserve">W dniu 12 maja 2024 r. Deweloper, pismem nr INF/████/███, jednostronnie poinformował o zmniejszeniu powierzchni lokalu do 52,30 m² oraz o bezpodstawnym wzroście ceny jednostkowej z 10 370,37 zł/m² do 11 220,00 zł/m², co miało skutkować żądaniem dopłaty w wysokości 26 986,00 zł [Załącznik 2: Pismo Dewelopera INF/████/███] [Źródło 1].</w:t>
      </w:r>
    </w:p>
    <w:p>
      <w:pPr>
        <w:pStyle w:val="Compact"/>
        <w:numPr>
          <w:ilvl w:val="0"/>
          <w:numId w:val="1034"/>
        </w:numPr>
      </w:pPr>
      <w:r>
        <w:t xml:space="preserve">Zmiana ta została dokonana wbrew postanowieniom § 9 ust. 3 umowy, który przewidywał korektę ceny</w:t>
      </w:r>
      <w:r>
        <w:t xml:space="preserve"> </w:t>
      </w:r>
      <w:r>
        <w:t xml:space="preserve">“według ceny jednostkowej z dnia zawarcia umowy”</w:t>
      </w:r>
      <w:r>
        <w:t xml:space="preserve"> </w:t>
      </w:r>
      <w:r>
        <w:t xml:space="preserve">[Źródło 1].</w:t>
      </w:r>
    </w:p>
    <w:p>
      <w:pPr>
        <w:pStyle w:val="Compact"/>
        <w:numPr>
          <w:ilvl w:val="0"/>
          <w:numId w:val="1034"/>
        </w:numPr>
      </w:pPr>
      <w:r>
        <w:t xml:space="preserve">W odpowiedzi na bezpodstawne żądanie dopłaty, Deweloper pismem nr ROZ/████/███ z dnia 20 czerwca 2024 r. jednostronnie rozwiązał umowę i zatrzymał wszystkie wpłacone przez M. N. kwoty (łącznie 76 000,00 zł) jako</w:t>
      </w:r>
      <w:r>
        <w:t xml:space="preserve"> </w:t>
      </w:r>
      <w:r>
        <w:t xml:space="preserve">“kary umowne/odszkodowanie”</w:t>
      </w:r>
      <w:r>
        <w:t xml:space="preserve"> </w:t>
      </w:r>
      <w:r>
        <w:t xml:space="preserve">[Załącznik 3: Pismo Dewelopera ROZ/████/███] [Źródło 1].</w:t>
      </w:r>
    </w:p>
    <w:p>
      <w:pPr>
        <w:pStyle w:val="Compact"/>
        <w:numPr>
          <w:ilvl w:val="0"/>
          <w:numId w:val="1034"/>
        </w:numPr>
      </w:pPr>
      <w:r>
        <w:t xml:space="preserve">Działania Dewelopera są rażąco sprzeczne z dobrymi obyczajami, naruszają interesy konsumenta i stanowią próbę nałożenia na konsumenta nieuzasadnionych obciążeń finansowych. Postanowienia umowne, na które powołuje się Deweloper, w zakresie ich stosowania, mogą stanowić niedozwolone klauzule umowne.</w:t>
      </w:r>
    </w:p>
    <w:p>
      <w:pPr>
        <w:pStyle w:val="FirstParagraph"/>
      </w:pPr>
      <w:r>
        <w:rPr>
          <w:b/>
          <w:bCs/>
        </w:rPr>
        <w:t xml:space="preserve">II. Uzasadnienie podejrzenia stosowania praktyk naruszających zbiorowe interesy konsumentów:</w:t>
      </w:r>
    </w:p>
    <w:p>
      <w:pPr>
        <w:pStyle w:val="Compact"/>
        <w:numPr>
          <w:ilvl w:val="0"/>
          <w:numId w:val="1035"/>
        </w:numPr>
      </w:pPr>
      <w:r>
        <w:rPr>
          <w:b/>
          <w:bCs/>
        </w:rPr>
        <w:t xml:space="preserve">Niedozwolone postanowienie umowne (klauzula abuzywna):</w:t>
      </w:r>
      <w:r>
        <w:t xml:space="preserve"> </w:t>
      </w:r>
      <w:r>
        <w:t xml:space="preserve">Postanowienie § 9 ust. 3 umowy, w interpretacji Dewelopera, pozwala mu na jednostronne i nieuzasadnione podwyższanie ceny lokalu mieszkalnego, co jest sprzeczne z zasadą równowagi stron i dobrymi obyczajami.</w:t>
      </w:r>
    </w:p>
    <w:p>
      <w:pPr>
        <w:pStyle w:val="Compact"/>
        <w:numPr>
          <w:ilvl w:val="0"/>
          <w:numId w:val="1035"/>
        </w:numPr>
      </w:pPr>
      <w:r>
        <w:rPr>
          <w:b/>
          <w:bCs/>
        </w:rPr>
        <w:t xml:space="preserve">Bezprawne rozwiązanie umowy i zatrzymanie wpłat:</w:t>
      </w:r>
      <w:r>
        <w:t xml:space="preserve"> </w:t>
      </w:r>
      <w:r>
        <w:t xml:space="preserve">Działanie Dewelopera polegające na rozwiązaniu umowy z powodu braku zapłaty bezpodstawnie żądanej kwoty oraz zatrzymaniu 76 000,00 zł jako</w:t>
      </w:r>
      <w:r>
        <w:t xml:space="preserve"> </w:t>
      </w:r>
      <w:r>
        <w:t xml:space="preserve">“kary umownej/odszkodowania”</w:t>
      </w:r>
      <w:r>
        <w:t xml:space="preserve">, stanowi naruszenie art. 483 § 1 Kodeksu cywilnego oraz jest próbą obciążenia konsumenta rażąco wygórowanymi kosztami.</w:t>
      </w:r>
    </w:p>
    <w:p>
      <w:pPr>
        <w:pStyle w:val="Compact"/>
        <w:numPr>
          <w:ilvl w:val="0"/>
          <w:numId w:val="1035"/>
        </w:numPr>
      </w:pPr>
      <w:r>
        <w:rPr>
          <w:b/>
          <w:bCs/>
        </w:rPr>
        <w:t xml:space="preserve">Działanie wbrew treści umowy:</w:t>
      </w:r>
      <w:r>
        <w:t xml:space="preserve"> </w:t>
      </w:r>
      <w:r>
        <w:t xml:space="preserve">Deweloper sam naruszył postanowienia umowy, działając wbrew zasadzie</w:t>
      </w:r>
      <w:r>
        <w:t xml:space="preserve"> </w:t>
      </w:r>
      <w:r>
        <w:t xml:space="preserve">“według ceny jednostkowej z dnia zawarcia umowy”</w:t>
      </w:r>
      <w:r>
        <w:t xml:space="preserve">, a następnie próbuje obciążyć konsumenta konsekwencjami własnego naruszenia.</w:t>
      </w:r>
    </w:p>
    <w:p>
      <w:pPr>
        <w:pStyle w:val="Compact"/>
        <w:numPr>
          <w:ilvl w:val="0"/>
          <w:numId w:val="1035"/>
        </w:numPr>
      </w:pPr>
      <w:r>
        <w:rPr>
          <w:b/>
          <w:bCs/>
        </w:rPr>
        <w:t xml:space="preserve">Charakter zbiorowy:</w:t>
      </w:r>
      <w:r>
        <w:t xml:space="preserve"> </w:t>
      </w:r>
      <w:r>
        <w:t xml:space="preserve">Istnieje uzasadnione podejrzenie, że Deweloper może stosować podobne praktyki wobec innych nabywców lokali mieszkalnych w tej samej inwestycji lub w innych swoich inwestycjach, co wskazuje na naruszenie zbiorowych interesów konsumentów.</w:t>
      </w:r>
    </w:p>
    <w:p>
      <w:pPr>
        <w:pStyle w:val="FirstParagraph"/>
      </w:pPr>
      <w:r>
        <w:rPr>
          <w:b/>
          <w:bCs/>
        </w:rPr>
        <w:t xml:space="preserve">III. Wnioski:</w:t>
      </w:r>
    </w:p>
    <w:p>
      <w:pPr>
        <w:pStyle w:val="BodyText"/>
      </w:pPr>
      <w:r>
        <w:t xml:space="preserve">W związku z powyższym, wnoszę o wszczęcie postępowania w sprawie naruszenia zbiorowych interesów konsumentów przez Deweloper D. sp. z o.o. oraz o podjęcie wszelkich stosownych działań przewidzianych prawem w celu ochrony konsumentów i wyeliminowania stwierdzonych praktyk.</w:t>
      </w:r>
    </w:p>
    <w:p>
      <w:pPr>
        <w:pStyle w:val="BodyText"/>
      </w:pPr>
      <w:r>
        <w:rPr>
          <w:b/>
          <w:bCs/>
        </w:rPr>
        <w:t xml:space="preserve">Załączniki:</w:t>
      </w:r>
      <w:r>
        <w:t xml:space="preserve"> </w:t>
      </w:r>
      <w:r>
        <w:t xml:space="preserve">1. Kopia umowy deweloperskiej nr UD/████/███ z dnia 10 marca 2023 r.</w:t>
      </w:r>
      <w:r>
        <w:t xml:space="preserve"> </w:t>
      </w:r>
      <w:r>
        <w:t xml:space="preserve">2. Kopia pisma Dewelopera nr INF/████/███ z dnia 12 maja 2024 r.</w:t>
      </w:r>
      <w:r>
        <w:t xml:space="preserve"> </w:t>
      </w:r>
      <w:r>
        <w:t xml:space="preserve">3. Kopia pisma Dewelopera nr ROZ/████/███ z dnia 20 czerwca 2024 r.</w:t>
      </w:r>
      <w:r>
        <w:t xml:space="preserve"> </w:t>
      </w:r>
      <w:r>
        <w:t xml:space="preserve">4. Kopia korespondencji (sprzeciw Powoda).</w:t>
      </w:r>
      <w:r>
        <w:t xml:space="preserve"> </w:t>
      </w:r>
      <w:r>
        <w:t xml:space="preserve">5. Kopie potwierdzeń wpłat na rzecz Dewelopera.</w:t>
      </w:r>
    </w:p>
    <w:p>
      <w:pPr>
        <w:pStyle w:val="BodyText"/>
      </w:pPr>
      <w:r>
        <w:rPr>
          <w:b/>
          <w:bCs/>
        </w:rPr>
        <w:t xml:space="preserve">Z poważaniem,</w:t>
      </w:r>
      <w:r>
        <w:t xml:space="preserve"> </w:t>
      </w:r>
      <w:r>
        <w:t xml:space="preserve">[Podpis pełnomocnika Klienta]</w:t>
      </w:r>
      <w:r>
        <w:t xml:space="preserve"> </w:t>
      </w:r>
      <w:r>
        <w:t xml:space="preserve">[Pieczęć Kancelarii]</w:t>
      </w:r>
    </w:p>
    <w:p>
      <w:r>
        <w:pict>
          <v:rect style="width:0;height:1.5pt" o:hralign="center" o:hrstd="t" o:hr="t"/>
        </w:pict>
      </w:r>
    </w:p>
    <w:bookmarkEnd w:id="37"/>
    <w:bookmarkEnd w:id="38"/>
    <w:bookmarkStart w:id="39" w:name="instrukcja-kolejnych-kroków"/>
    <w:p>
      <w:pPr>
        <w:pStyle w:val="Heading2"/>
      </w:pPr>
      <w:r>
        <w:t xml:space="preserve">Instrukcja kolejnych kroków</w:t>
      </w:r>
    </w:p>
    <w:p>
      <w:pPr>
        <w:pStyle w:val="Compact"/>
        <w:numPr>
          <w:ilvl w:val="0"/>
          <w:numId w:val="1036"/>
        </w:numPr>
      </w:pPr>
      <w:r>
        <w:rPr>
          <w:b/>
          <w:bCs/>
        </w:rPr>
        <w:t xml:space="preserve">Analiza i decyzja Klienta (natychmiast):</w:t>
      </w:r>
      <w:r>
        <w:t xml:space="preserve"> </w:t>
      </w:r>
      <w:r>
        <w:t xml:space="preserve">Zapoznanie się z opinią prawną, wyliczeniami roszczeń oraz rejestrem ryzyk i szans. Podjęcie decyzji co do preferowanej strategii (negocjacje, pozew o lokal, pozew o odszkodowanie).</w:t>
      </w:r>
    </w:p>
    <w:p>
      <w:pPr>
        <w:pStyle w:val="Compact"/>
        <w:numPr>
          <w:ilvl w:val="0"/>
          <w:numId w:val="1036"/>
        </w:numPr>
      </w:pPr>
      <w:r>
        <w:rPr>
          <w:b/>
          <w:bCs/>
        </w:rPr>
        <w:t xml:space="preserve">Zebranie dodatkowych dowodów (natychmiast):</w:t>
      </w:r>
    </w:p>
    <w:p>
      <w:pPr>
        <w:pStyle w:val="Compact"/>
        <w:numPr>
          <w:ilvl w:val="1"/>
          <w:numId w:val="1037"/>
        </w:numPr>
      </w:pPr>
      <w:r>
        <w:t xml:space="preserve">Uwierzytelnienie wszystkich posiadanych dokumentów (umowa deweloperska, pisma dewelopera, potwierdzenia wpłat, korespondencja) u notariusza lub przez pełnomocnika (za zgodność z oryginałem).</w:t>
      </w:r>
    </w:p>
    <w:p>
      <w:pPr>
        <w:pStyle w:val="Compact"/>
        <w:numPr>
          <w:ilvl w:val="1"/>
          <w:numId w:val="1037"/>
        </w:numPr>
      </w:pPr>
      <w:r>
        <w:t xml:space="preserve">Zabezpieczenie korespondencji e-mail w formie wydruków poświadczonych za zgodność.</w:t>
      </w:r>
    </w:p>
    <w:p>
      <w:pPr>
        <w:pStyle w:val="Compact"/>
        <w:numPr>
          <w:ilvl w:val="1"/>
          <w:numId w:val="1037"/>
        </w:numPr>
      </w:pPr>
      <w:r>
        <w:t xml:space="preserve">Zlecenie wstępnej ekspertyzy architektonicznej/rzeczoznawcy w celu precyzyjnego pomiaru powierzchni lokalu i oceny rynkowej jego wartości.</w:t>
      </w:r>
    </w:p>
    <w:p>
      <w:pPr>
        <w:pStyle w:val="Compact"/>
        <w:numPr>
          <w:ilvl w:val="1"/>
          <w:numId w:val="1037"/>
        </w:numPr>
      </w:pPr>
      <w:r>
        <w:t xml:space="preserve">Wszelkie inne dokumenty, które mogą świadczyć o działaniach dewelopera (np. materiały marketingowe, oferty).</w:t>
      </w:r>
    </w:p>
    <w:p>
      <w:pPr>
        <w:pStyle w:val="Compact"/>
        <w:numPr>
          <w:ilvl w:val="0"/>
          <w:numId w:val="1036"/>
        </w:numPr>
      </w:pPr>
      <w:r>
        <w:rPr>
          <w:b/>
          <w:bCs/>
        </w:rPr>
        <w:t xml:space="preserve">Wysłanie Wezwania do wykonania umowy i zapłaty (do 3 dni):</w:t>
      </w:r>
      <w:r>
        <w:t xml:space="preserve"> </w:t>
      </w:r>
      <w:r>
        <w:t xml:space="preserve">Sporządzone Wezwanie należy wysłać listem poleconym za zwrotnym potwierdzeniem odbioru do dewelopera. Pozwoli to formalnie wezwać do zapłaty i wykonania umowy, jednocześnie otwierając drogę do naliczania odsetek ustawowych za opóźnienie oraz wykazania prób polubownego rozwiązania sporu przed sądem.</w:t>
      </w:r>
    </w:p>
    <w:p>
      <w:pPr>
        <w:pStyle w:val="Compact"/>
        <w:numPr>
          <w:ilvl w:val="0"/>
          <w:numId w:val="1036"/>
        </w:numPr>
      </w:pPr>
      <w:r>
        <w:rPr>
          <w:b/>
          <w:bCs/>
        </w:rPr>
        <w:t xml:space="preserve">Powiadomienie UOKiK/Rzecznika Praw Konsumentów (do 7 dni):</w:t>
      </w:r>
      <w:r>
        <w:t xml:space="preserve"> </w:t>
      </w:r>
      <w:r>
        <w:t xml:space="preserve">Wysłanie zawiadomienia do UOKiK oraz do Powiatowego/Miejskiego Rzecznika Praw Konsumentów. Nie jest to działanie procesowe, ale może wywrzeć presję na dewelopera i wzmocnić pozycję Klienta.</w:t>
      </w:r>
    </w:p>
    <w:p>
      <w:pPr>
        <w:pStyle w:val="Compact"/>
        <w:numPr>
          <w:ilvl w:val="0"/>
          <w:numId w:val="1036"/>
        </w:numPr>
      </w:pPr>
      <w:r>
        <w:rPr>
          <w:b/>
          <w:bCs/>
        </w:rPr>
        <w:t xml:space="preserve">Przygotowanie i złożenie Pozwu (po upływie terminu z Wezwania, ok. 10 dni):</w:t>
      </w:r>
      <w:r>
        <w:t xml:space="preserve"> </w:t>
      </w:r>
      <w:r>
        <w:t xml:space="preserve">Jeśli Wezwanie nie przyniesie skutku, należy bezzwłocznie przygotować i złożyć Pozew o ustalenie bezskuteczności rozwiązania umowy, nakazanie przeniesienia własności lokalu i zapłatę, wraz z wnioskiem o zabezpieczenie powództwa.</w:t>
      </w:r>
    </w:p>
    <w:p>
      <w:pPr>
        <w:pStyle w:val="Compact"/>
        <w:numPr>
          <w:ilvl w:val="1"/>
          <w:numId w:val="1038"/>
        </w:numPr>
      </w:pPr>
      <w:r>
        <w:t xml:space="preserve">Pozew powinien być złożony w Sądzie Okręgowym właściwym ze względu na siedzibę dewelopera lub położenie nieruchomości.</w:t>
      </w:r>
    </w:p>
    <w:p>
      <w:pPr>
        <w:pStyle w:val="Compact"/>
        <w:numPr>
          <w:ilvl w:val="1"/>
          <w:numId w:val="1038"/>
        </w:numPr>
      </w:pPr>
      <w:r>
        <w:t xml:space="preserve">Wniosek o zabezpieczenie powództwa (wpis ostrzeżenia w księdze wieczystej) jest kluczowy, aby uniemożliwić deweloperowi zbycie lokalu innemu podmiotowi.</w:t>
      </w:r>
    </w:p>
    <w:p>
      <w:pPr>
        <w:pStyle w:val="Compact"/>
        <w:numPr>
          <w:ilvl w:val="0"/>
          <w:numId w:val="1036"/>
        </w:numPr>
      </w:pPr>
      <w:r>
        <w:rPr>
          <w:b/>
          <w:bCs/>
        </w:rPr>
        <w:t xml:space="preserve">Monitorowanie sprawy:</w:t>
      </w:r>
      <w:r>
        <w:t xml:space="preserve"> </w:t>
      </w:r>
      <w:r>
        <w:t xml:space="preserve">Śledzenie terminu rozpatrzenia wniosku o zabezpieczenie oraz terminu pierwszej rozprawy. W przypadku wpisu ostrzeżenia w księdze wieczystej, weryfikacja jego dokonania.</w:t>
      </w:r>
    </w:p>
    <w:p>
      <w:pPr>
        <w:pStyle w:val="FirstParagraph"/>
      </w:pPr>
      <w:r>
        <w:t xml:space="preserve">[[PROPOSE_DOC: Wezwanie do wykonania umowy i zapłaty]]</w:t>
      </w:r>
      <w:r>
        <w:t xml:space="preserve"> </w:t>
      </w:r>
      <w:r>
        <w:t xml:space="preserve">[[PROPOSE_DOC: Pozew o ustalenie bezskuteczności rozwiązania umowy, nakazanie przeniesienia własności lokalu i zapłatę]]</w:t>
      </w:r>
      <w:r>
        <w:t xml:space="preserve"> </w:t>
      </w:r>
      <w:r>
        <w:t xml:space="preserve">[[PROPOSE_DOC: Zawiadomienie do Prezesa Urzędu Ochrony Konkurencji i Konsumentów]]</w:t>
      </w:r>
    </w:p>
    <w:p>
      <w:r>
        <w:pict>
          <v:rect style="width:0;height:1.5pt" o:hralign="center" o:hrstd="t" o:hr="t"/>
        </w:pict>
      </w:r>
    </w:p>
    <w:bookmarkEnd w:id="39"/>
    <w:bookmarkEnd w:id="4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6">
    <w:abstractNumId w:val="991"/>
  </w:num>
  <w:num w:numId="102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7">
    <w:abstractNumId w:val="991"/>
  </w:num>
  <w:num w:numId="103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2026-10-05T19:14:32Z</dcterms:created>
  <dcterms:modified xsi:type="dcterms:W3CDTF">2026-10-05T19:14:32Z</dcterms:modified>
</cp:coreProperties>
</file>

<file path=docProps/custom.xml><?xml version="1.0" encoding="utf-8"?>
<Properties xmlns="http://schemas.openxmlformats.org/officeDocument/2006/custom-properties" xmlns:vt="http://schemas.openxmlformats.org/officeDocument/2006/docPropsVTypes"/>
</file>