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sprawa-045-rozwiązanie-casebox"/>
    <w:p>
      <w:pPr>
        <w:pStyle w:val="Heading1"/>
      </w:pPr>
      <w:r>
        <w:t xml:space="preserve">Sprawa 045 — rozwiązanie CaseBox</w:t>
      </w:r>
    </w:p>
    <w:bookmarkStart w:id="9" w:name="część-ii.-rozwiązanie-case-project-api"/>
    <w:p>
      <w:pPr>
        <w:pStyle w:val="Heading2"/>
      </w:pPr>
      <w:r>
        <w:t xml:space="preserve">CZĘŚĆ II. ROZWIĄZANIE (Case Project API)</w:t>
      </w:r>
    </w:p>
    <w:p>
      <w:pPr>
        <w:pStyle w:val="FirstParagraph"/>
      </w:pPr>
      <w:r>
        <w:t xml:space="preserve">Szanowni Państwo,</w:t>
      </w:r>
    </w:p>
    <w:p>
      <w:pPr>
        <w:pStyle w:val="BodyText"/>
      </w:pPr>
      <w:r>
        <w:t xml:space="preserve">Poniżej przedstawiamy kompleksową analizę prawną sprawy dotyczącej konfliktu między Wynajmującym Januszem J. K. a Najemcą – „C. N. sp. z o.o.”, wraz z opinią prawną, oceną roszczeń, rejestrem ryzyk i szans, projektami pism oraz instrukcją kolejnych kroków.</w:t>
      </w:r>
    </w:p>
    <w:bookmarkEnd w:id="9"/>
    <w:bookmarkStart w:id="10" w:name="podsumowanie-sprawy"/>
    <w:p>
      <w:pPr>
        <w:pStyle w:val="Heading2"/>
      </w:pPr>
      <w:r>
        <w:t xml:space="preserve">Podsumowanie sprawy</w:t>
      </w:r>
    </w:p>
    <w:p>
      <w:pPr>
        <w:pStyle w:val="FirstParagraph"/>
      </w:pPr>
      <w:r>
        <w:t xml:space="preserve">Sprawa dotyczy konfliktu wynikającego z umowy najmu lokalu użytkowego nr UMN/████/███, zawartej 1 lipca 2023 r. na okres 5 lat, pomiędzy Januszem J. K. (Wynajmującym) a „C. N. sp. z o.o.” (Najemcą). Punktem zapalnym jest zalanie lokalu, które miało miejsce 15 marca 2025 r. w wyniku awarii instalacji kanalizacyjnej w budynku. Wynajmujący obarczył Najemcę odpowiedzialnością za tę awarię, wezwał do uzupełnienia kaucji zabezpieczającej (z 36 000 zł do 48 000 zł), a następnie jednostronnie potrącił całą kaucję w kwocie 36 000 zł na pokrycie kosztów napraw i remontu, sporządzając jednostronne zestawienie kosztów. 28 maja 2025 r. Wynajmujący wypowiedział umowę najmu z 12-miesięcznym okresem wypowiedzenia, powołując się na</w:t>
      </w:r>
      <w:r>
        <w:t xml:space="preserve"> </w:t>
      </w:r>
      <w:r>
        <w:t xml:space="preserve">“rażące naruszenia obowiązków Wynajmującego”</w:t>
      </w:r>
      <w:r>
        <w:t xml:space="preserve">, co w kontekście wcześniejszych pism sugeruje przypisywanie odpowiedzialności Najemcy. Najemca kwestionuje swoją odpowiedzialność za zalanie, twierdząc, że było ono spowodowane wadą instalacji pionowej budynku, odmawia uzupełnienia kaucji i zamierza dochodzić zwrotu potrąconej kaucji oraz odszkodowania za straty w wyposażeniu (██ ███ zł brutto) i utracone przychody. Obecnie sprawa znajduje się na etapie przedsądowym i stanowi kazus prawny wymagający kompleksowej analizy przed podjęciem dalszych działań.</w:t>
      </w:r>
    </w:p>
    <w:bookmarkEnd w:id="10"/>
    <w:bookmarkStart w:id="11" w:name="kluczowe-dane"/>
    <w:p>
      <w:pPr>
        <w:pStyle w:val="Heading2"/>
      </w:pPr>
      <w:r>
        <w:t xml:space="preserve">Kluczowe dane</w:t>
      </w:r>
    </w:p>
    <w:p>
      <w:pPr>
        <w:pStyle w:val="Compact"/>
        <w:numPr>
          <w:ilvl w:val="0"/>
          <w:numId w:val="1001"/>
        </w:numPr>
      </w:pPr>
      <w:r>
        <w:rPr>
          <w:b/>
          <w:bCs/>
        </w:rPr>
        <w:t xml:space="preserve">Wynajmujący:</w:t>
      </w:r>
      <w:r>
        <w:t xml:space="preserve"> </w:t>
      </w:r>
      <w:r>
        <w:t xml:space="preserve">J. K. [Źródło 1]</w:t>
      </w:r>
    </w:p>
    <w:p>
      <w:pPr>
        <w:pStyle w:val="Compact"/>
        <w:numPr>
          <w:ilvl w:val="0"/>
          <w:numId w:val="1001"/>
        </w:numPr>
      </w:pPr>
      <w:r>
        <w:rPr>
          <w:b/>
          <w:bCs/>
        </w:rPr>
        <w:t xml:space="preserve">Najemca:</w:t>
      </w:r>
      <w:r>
        <w:t xml:space="preserve"> </w:t>
      </w:r>
      <w:r>
        <w:t xml:space="preserve">Spółka z o.o. „C. N. sp. z o.o.” [Źródło 1]</w:t>
      </w:r>
    </w:p>
    <w:p>
      <w:pPr>
        <w:pStyle w:val="Compact"/>
        <w:numPr>
          <w:ilvl w:val="0"/>
          <w:numId w:val="1001"/>
        </w:numPr>
      </w:pPr>
      <w:r>
        <w:rPr>
          <w:b/>
          <w:bCs/>
        </w:rPr>
        <w:t xml:space="preserve">Umowa najmu:</w:t>
      </w:r>
      <w:r>
        <w:t xml:space="preserve"> </w:t>
      </w:r>
      <w:r>
        <w:t xml:space="preserve">nr UMN/████/███ [Źródło 1]</w:t>
      </w:r>
    </w:p>
    <w:p>
      <w:pPr>
        <w:pStyle w:val="Compact"/>
        <w:numPr>
          <w:ilvl w:val="0"/>
          <w:numId w:val="1001"/>
        </w:numPr>
      </w:pPr>
      <w:r>
        <w:rPr>
          <w:b/>
          <w:bCs/>
        </w:rPr>
        <w:t xml:space="preserve">Data zawarcia umowy:</w:t>
      </w:r>
      <w:r>
        <w:t xml:space="preserve"> </w:t>
      </w:r>
      <w:r>
        <w:t xml:space="preserve">1 lipca 2023 r. [Źródło 1]</w:t>
      </w:r>
    </w:p>
    <w:p>
      <w:pPr>
        <w:pStyle w:val="Compact"/>
        <w:numPr>
          <w:ilvl w:val="0"/>
          <w:numId w:val="1001"/>
        </w:numPr>
      </w:pPr>
      <w:r>
        <w:rPr>
          <w:b/>
          <w:bCs/>
        </w:rPr>
        <w:t xml:space="preserve">Okres najmu:</w:t>
      </w:r>
      <w:r>
        <w:t xml:space="preserve"> </w:t>
      </w:r>
      <w:r>
        <w:t xml:space="preserve">5 lat [Źródło 1]</w:t>
      </w:r>
    </w:p>
    <w:p>
      <w:pPr>
        <w:pStyle w:val="Compact"/>
        <w:numPr>
          <w:ilvl w:val="0"/>
          <w:numId w:val="1001"/>
        </w:numPr>
      </w:pPr>
      <w:r>
        <w:rPr>
          <w:b/>
          <w:bCs/>
        </w:rPr>
        <w:t xml:space="preserve">Czynsz:</w:t>
      </w:r>
      <w:r>
        <w:t xml:space="preserve"> </w:t>
      </w:r>
      <w:r>
        <w:t xml:space="preserve">12 000 zł netto miesięcznie [Źródło 1]</w:t>
      </w:r>
    </w:p>
    <w:p>
      <w:pPr>
        <w:pStyle w:val="Compact"/>
        <w:numPr>
          <w:ilvl w:val="0"/>
          <w:numId w:val="1001"/>
        </w:numPr>
      </w:pPr>
      <w:r>
        <w:rPr>
          <w:b/>
          <w:bCs/>
        </w:rPr>
        <w:t xml:space="preserve">Kaucja zabezpieczająca (wpłacona):</w:t>
      </w:r>
      <w:r>
        <w:t xml:space="preserve"> </w:t>
      </w:r>
      <w:r>
        <w:t xml:space="preserve">36 000 zł (równowartość trzymiesięcznego czynszu netto) [Źródło 1]</w:t>
      </w:r>
    </w:p>
    <w:p>
      <w:pPr>
        <w:pStyle w:val="Compact"/>
        <w:numPr>
          <w:ilvl w:val="0"/>
          <w:numId w:val="1001"/>
        </w:numPr>
      </w:pPr>
      <w:r>
        <w:rPr>
          <w:b/>
          <w:bCs/>
        </w:rPr>
        <w:t xml:space="preserve">Termin zwrotu kaucji (umowny):</w:t>
      </w:r>
      <w:r>
        <w:t xml:space="preserve"> </w:t>
      </w:r>
      <w:r>
        <w:t xml:space="preserve">30 dni od opróżnienia lokalu [Źródło 1]</w:t>
      </w:r>
    </w:p>
    <w:p>
      <w:pPr>
        <w:pStyle w:val="Compact"/>
        <w:numPr>
          <w:ilvl w:val="0"/>
          <w:numId w:val="1001"/>
        </w:numPr>
      </w:pPr>
      <w:r>
        <w:rPr>
          <w:b/>
          <w:bCs/>
        </w:rPr>
        <w:t xml:space="preserve">Koszt nakładów adaptacyjnych (kuchnia):</w:t>
      </w:r>
      <w:r>
        <w:t xml:space="preserve"> </w:t>
      </w:r>
      <w:r>
        <w:t xml:space="preserve">28 500 zł brutto [Źródło 1]</w:t>
      </w:r>
    </w:p>
    <w:p>
      <w:pPr>
        <w:pStyle w:val="Compact"/>
        <w:numPr>
          <w:ilvl w:val="0"/>
          <w:numId w:val="1001"/>
        </w:numPr>
      </w:pPr>
      <w:r>
        <w:rPr>
          <w:b/>
          <w:bCs/>
        </w:rPr>
        <w:t xml:space="preserve">Data zalania lokalu:</w:t>
      </w:r>
      <w:r>
        <w:t xml:space="preserve"> </w:t>
      </w:r>
      <w:r>
        <w:t xml:space="preserve">15 marca 2025 r. [Źródło 1]</w:t>
      </w:r>
    </w:p>
    <w:p>
      <w:pPr>
        <w:pStyle w:val="Compact"/>
        <w:numPr>
          <w:ilvl w:val="0"/>
          <w:numId w:val="1001"/>
        </w:numPr>
      </w:pPr>
      <w:r>
        <w:rPr>
          <w:b/>
          <w:bCs/>
        </w:rPr>
        <w:t xml:space="preserve">Straty Najemcy w wyposażeniu:</w:t>
      </w:r>
      <w:r>
        <w:t xml:space="preserve"> </w:t>
      </w:r>
      <w:r>
        <w:t xml:space="preserve">██ ███ zł brutto [Źródło 1]</w:t>
      </w:r>
    </w:p>
    <w:p>
      <w:pPr>
        <w:pStyle w:val="Compact"/>
        <w:numPr>
          <w:ilvl w:val="0"/>
          <w:numId w:val="1001"/>
        </w:numPr>
      </w:pPr>
      <w:r>
        <w:rPr>
          <w:b/>
          <w:bCs/>
        </w:rPr>
        <w:t xml:space="preserve">Data wezwania Najemcy do usunięcia wad instalacji i uzupełnienia kaucji:</w:t>
      </w:r>
      <w:r>
        <w:t xml:space="preserve"> </w:t>
      </w:r>
      <w:r>
        <w:t xml:space="preserve">20 marca 2025 r. [Źródło 1]</w:t>
      </w:r>
    </w:p>
    <w:p>
      <w:pPr>
        <w:pStyle w:val="Compact"/>
        <w:numPr>
          <w:ilvl w:val="0"/>
          <w:numId w:val="1001"/>
        </w:numPr>
      </w:pPr>
      <w:r>
        <w:rPr>
          <w:b/>
          <w:bCs/>
        </w:rPr>
        <w:t xml:space="preserve">Żądana kwota uzupełnienia kaucji:</w:t>
      </w:r>
      <w:r>
        <w:t xml:space="preserve"> </w:t>
      </w:r>
      <w:r>
        <w:t xml:space="preserve">do 48 000 zł [Źródło 1]</w:t>
      </w:r>
    </w:p>
    <w:p>
      <w:pPr>
        <w:pStyle w:val="Compact"/>
        <w:numPr>
          <w:ilvl w:val="0"/>
          <w:numId w:val="1001"/>
        </w:numPr>
      </w:pPr>
      <w:r>
        <w:rPr>
          <w:b/>
          <w:bCs/>
        </w:rPr>
        <w:t xml:space="preserve">Data ustnego oświadczenia Wynajmującego o potrąceniu z kaucji:</w:t>
      </w:r>
      <w:r>
        <w:t xml:space="preserve"> </w:t>
      </w:r>
      <w:r>
        <w:t xml:space="preserve">10 maja 2025 r., kwota 36 000 zł [Źródło 1]</w:t>
      </w:r>
    </w:p>
    <w:p>
      <w:pPr>
        <w:pStyle w:val="Compact"/>
        <w:numPr>
          <w:ilvl w:val="0"/>
          <w:numId w:val="1001"/>
        </w:numPr>
      </w:pPr>
      <w:r>
        <w:rPr>
          <w:b/>
          <w:bCs/>
        </w:rPr>
        <w:t xml:space="preserve">Data wypowiedzenia umowy najmu:</w:t>
      </w:r>
      <w:r>
        <w:t xml:space="preserve"> </w:t>
      </w:r>
      <w:r>
        <w:t xml:space="preserve">28 maja 2025 r. [Źródło 1]</w:t>
      </w:r>
    </w:p>
    <w:p>
      <w:pPr>
        <w:pStyle w:val="Compact"/>
        <w:numPr>
          <w:ilvl w:val="0"/>
          <w:numId w:val="1001"/>
        </w:numPr>
      </w:pPr>
      <w:r>
        <w:rPr>
          <w:b/>
          <w:bCs/>
        </w:rPr>
        <w:t xml:space="preserve">Okres wypowiedzenia:</w:t>
      </w:r>
      <w:r>
        <w:t xml:space="preserve"> </w:t>
      </w:r>
      <w:r>
        <w:t xml:space="preserve">12 miesięcy [Źródło 1]</w:t>
      </w:r>
    </w:p>
    <w:p>
      <w:pPr>
        <w:pStyle w:val="Compact"/>
        <w:numPr>
          <w:ilvl w:val="0"/>
          <w:numId w:val="1001"/>
        </w:numPr>
      </w:pPr>
      <w:r>
        <w:rPr>
          <w:b/>
          <w:bCs/>
        </w:rPr>
        <w:t xml:space="preserve">Faktura VAT nr FV/████/███ (za sprzęt):</w:t>
      </w:r>
      <w:r>
        <w:t xml:space="preserve"> </w:t>
      </w:r>
      <w:r>
        <w:t xml:space="preserve">██ ███ zł brutto [Źródło 2]</w:t>
      </w:r>
    </w:p>
    <w:p>
      <w:pPr>
        <w:pStyle w:val="Compact"/>
        <w:numPr>
          <w:ilvl w:val="0"/>
          <w:numId w:val="1001"/>
        </w:numPr>
      </w:pPr>
      <w:r>
        <w:rPr>
          <w:b/>
          <w:bCs/>
        </w:rPr>
        <w:t xml:space="preserve">Faktury za roboty remontowe:</w:t>
      </w:r>
      <w:r>
        <w:t xml:space="preserve"> </w:t>
      </w:r>
      <w:r>
        <w:t xml:space="preserve">██ ███ zł brutto [Źródło 2]</w:t>
      </w:r>
    </w:p>
    <w:bookmarkEnd w:id="11"/>
    <w:bookmarkStart w:id="12" w:name="żądania-i-twierdzenia-stron"/>
    <w:p>
      <w:pPr>
        <w:pStyle w:val="Heading2"/>
      </w:pPr>
      <w:r>
        <w:t xml:space="preserve">Żądania i twierdzenia stron</w:t>
      </w:r>
    </w:p>
    <w:p>
      <w:pPr>
        <w:pStyle w:val="FirstParagraph"/>
      </w:pPr>
      <w:r>
        <w:rPr>
          <w:b/>
          <w:bCs/>
        </w:rPr>
        <w:t xml:space="preserve">Najemca (Spółka z o.o. „C. N. sp. z o.o.”):</w:t>
      </w:r>
      <w:r>
        <w:t xml:space="preserve"> </w:t>
      </w:r>
      <w:r>
        <w:t xml:space="preserve">* Kwestionuje swoją odpowiedzialność za zalanie lokalu, wskazując na wadę instalacji pionowej budynku [Źródło 1].</w:t>
      </w:r>
      <w:r>
        <w:t xml:space="preserve"> </w:t>
      </w:r>
      <w:r>
        <w:t xml:space="preserve">* Odmawia dobrowolnego uzupełnienia kaucji do kwoty 48 000 zł, argumentując brak podstaw umownych [Źródło 1].</w:t>
      </w:r>
      <w:r>
        <w:t xml:space="preserve"> </w:t>
      </w:r>
      <w:r>
        <w:t xml:space="preserve">* Zamierza dochodzić zwrotu potrąconej kaucji w wysokości 36 000 zł [Źródło 1, Źródło 2].</w:t>
      </w:r>
      <w:r>
        <w:t xml:space="preserve"> </w:t>
      </w:r>
      <w:r>
        <w:t xml:space="preserve">* Żąda naprawienia szkód poniesionych w wyniku zalania, obejmujących straty w wyposażeniu na kwotę ██ ███ zł brutto, w tym:</w:t>
      </w:r>
      <w:r>
        <w:t xml:space="preserve"> </w:t>
      </w:r>
      <w:r>
        <w:t xml:space="preserve">* Faktura VAT nr FV/████/███ za sprzęt: ██ ███ zł brutto [Źródło 2].</w:t>
      </w:r>
      <w:r>
        <w:t xml:space="preserve"> </w:t>
      </w:r>
      <w:r>
        <w:t xml:space="preserve">* Faktury za roboty remontowe: ██ ███ zł brutto [Źródło 2].</w:t>
      </w:r>
      <w:r>
        <w:t xml:space="preserve"> </w:t>
      </w:r>
      <w:r>
        <w:t xml:space="preserve">* Zapowiada dochodzenie strat z tytułu utraconych przychodów/zysków [Źródło 2].</w:t>
      </w:r>
      <w:r>
        <w:t xml:space="preserve"> </w:t>
      </w:r>
      <w:r>
        <w:t xml:space="preserve">* Kwestionuje zasadność wypowiedzenia umowy najmu [Źródło 1].</w:t>
      </w:r>
    </w:p>
    <w:p>
      <w:pPr>
        <w:pStyle w:val="BodyText"/>
      </w:pPr>
      <w:r>
        <w:rPr>
          <w:b/>
          <w:bCs/>
        </w:rPr>
        <w:t xml:space="preserve">Wynajmujący (J. K.):</w:t>
      </w:r>
      <w:r>
        <w:t xml:space="preserve"> </w:t>
      </w:r>
      <w:r>
        <w:t xml:space="preserve">* Uważa, że zalanie było wynikiem niewłaściwej eksploatacji przez Najemcę i obarcza go odpowiedzialnością na podstawie §10 ust.1 umowy [Źródło 1].</w:t>
      </w:r>
      <w:r>
        <w:t xml:space="preserve"> </w:t>
      </w:r>
      <w:r>
        <w:t xml:space="preserve">* Wezwał Najemcę do usunięcia wad instalacji i uzupełnienia kaucji do 48 000 zł [Źródło 1].</w:t>
      </w:r>
      <w:r>
        <w:t xml:space="preserve"> </w:t>
      </w:r>
      <w:r>
        <w:t xml:space="preserve">* Dokonał jednostronnego potrącenia całej kaucji (36 000 zł) na pokrycie kosztów napraw i remontu, opierając się na jednostronnym zestawieniu kosztów bez załączonych faktur [Źródło 1].</w:t>
      </w:r>
      <w:r>
        <w:t xml:space="preserve"> </w:t>
      </w:r>
      <w:r>
        <w:t xml:space="preserve">* Wypowiedział umowę najmu z 12-miesięcznym okresem wypowiedzenia, powołując się na</w:t>
      </w:r>
      <w:r>
        <w:t xml:space="preserve"> </w:t>
      </w:r>
      <w:r>
        <w:t xml:space="preserve">“rażące naruszenia obowiązków Wynajmującego”</w:t>
      </w:r>
      <w:r>
        <w:t xml:space="preserve"> </w:t>
      </w:r>
      <w:r>
        <w:t xml:space="preserve">[Źródło 1].</w:t>
      </w:r>
      <w:r>
        <w:t xml:space="preserve"> </w:t>
      </w:r>
      <w:r>
        <w:t xml:space="preserve">* Twierdzi, że nakłady adaptacyjne (kuchni) były wykonane bez formalnego zatwierdzenia wszystkich prac [Źródło 1].</w:t>
      </w:r>
    </w:p>
    <w:bookmarkEnd w:id="12"/>
    <w:bookmarkStart w:id="17" w:name="X9c535b782bd5ae24b1e2e1ce052c57743c615e8"/>
    <w:p>
      <w:pPr>
        <w:pStyle w:val="Heading2"/>
      </w:pPr>
      <w:r>
        <w:t xml:space="preserve">Opinia prawna i Odpowiedź na zagadnienia z części III kazusu</w:t>
      </w:r>
    </w:p>
    <w:p>
      <w:pPr>
        <w:pStyle w:val="FirstParagraph"/>
      </w:pPr>
      <w:r>
        <w:t xml:space="preserve">W niniejszej opinii prawnej oraz odpowiedzi na zagadnienia z kazusu, z uwagi na ograniczenia w dostępie do pełnego brzmienia przepisów Kodeksu cywilnego, analiza będzie opierać się na ogólnych zasadach prawa cywilnego i procesowego, a także na dostępnych fragmentach orzecznictwa. Należy podkreślić, że wiele kluczowych artykułów KC dotyczących umowy najmu, odpowiedzialności odszkodowawczej i przedawnienia (wskazanych w zadaniu: art. 353(1), 355, 355(1), 659–663, 673–679, 646, 647, 455, 471, 492, 643–651; przepisy o przedawnieniu art. 118–125)</w:t>
      </w:r>
      <w:r>
        <w:t xml:space="preserve"> </w:t>
      </w:r>
      <w:r>
        <w:rPr>
          <w:b/>
          <w:bCs/>
        </w:rPr>
        <w:t xml:space="preserve">nie jest dostępnych w przekazanym materiale</w:t>
      </w:r>
      <w:r>
        <w:t xml:space="preserve">. Brak tych przepisów uniemożliwia pełną i szczegółową analizę prawną zgodnie z ich literalnym brzmieniem.</w:t>
      </w:r>
    </w:p>
    <w:bookmarkStart w:id="13" w:name="kwalifikacja-prawna-stanu-faktycznego"/>
    <w:p>
      <w:pPr>
        <w:pStyle w:val="Heading3"/>
      </w:pPr>
      <w:r>
        <w:t xml:space="preserve">Kwalifikacja prawna stanu faktycznego</w:t>
      </w:r>
    </w:p>
    <w:p>
      <w:pPr>
        <w:pStyle w:val="FirstParagraph"/>
      </w:pPr>
      <w:r>
        <w:t xml:space="preserve">Stan faktyczny kwalifikuje się jako spór cywilnoprawny wynikający z umowy najmu lokalu użytkowego. Kluczowe obszary sporu to:</w:t>
      </w:r>
      <w:r>
        <w:t xml:space="preserve"> </w:t>
      </w:r>
      <w:r>
        <w:t xml:space="preserve">1.</w:t>
      </w:r>
      <w:r>
        <w:t xml:space="preserve"> </w:t>
      </w:r>
      <w:r>
        <w:rPr>
          <w:b/>
          <w:bCs/>
        </w:rPr>
        <w:t xml:space="preserve">Odpowiedzialność kontraktowa i deliktowa:</w:t>
      </w:r>
      <w:r>
        <w:t xml:space="preserve"> </w:t>
      </w:r>
      <w:r>
        <w:t xml:space="preserve">Kwestia odpowiedzialności za zalanie lokalu, a w konsekwencji za powstałe szkody (art. 471 k.c. – brak w materiale, dot. niewykonania lub nienależytego wykonania zobowiązania, oraz art. 415 k.c. – brak w materiale, dot. odpowiedzialności deliktowej). Odpowiedzialność Wynajmującego za wady fizyczne rzeczy najętej (art. 662 k.c. – brak w materiale) oraz obowiązek utrzymania części wspólnych.</w:t>
      </w:r>
      <w:r>
        <w:t xml:space="preserve"> </w:t>
      </w:r>
      <w:r>
        <w:t xml:space="preserve">2.</w:t>
      </w:r>
      <w:r>
        <w:t xml:space="preserve"> </w:t>
      </w:r>
      <w:r>
        <w:rPr>
          <w:b/>
          <w:bCs/>
        </w:rPr>
        <w:t xml:space="preserve">Kaucja zabezpieczająca i potrącenie:</w:t>
      </w:r>
      <w:r>
        <w:t xml:space="preserve"> </w:t>
      </w:r>
      <w:r>
        <w:t xml:space="preserve">Roszczenia dotyczące prawidłowości pobrania, wykorzystania i zwrotu kaucji zabezpieczającej. Potrącenie wzajemnych wierzytelności (art. 498 k.c. – brak w materiale).</w:t>
      </w:r>
      <w:r>
        <w:t xml:space="preserve"> </w:t>
      </w:r>
      <w:r>
        <w:t xml:space="preserve">3.</w:t>
      </w:r>
      <w:r>
        <w:t xml:space="preserve"> </w:t>
      </w:r>
      <w:r>
        <w:rPr>
          <w:b/>
          <w:bCs/>
        </w:rPr>
        <w:t xml:space="preserve">Nakłady na lokal:</w:t>
      </w:r>
      <w:r>
        <w:t xml:space="preserve"> </w:t>
      </w:r>
      <w:r>
        <w:t xml:space="preserve">Kwestia rozliczenia nakładów adaptacyjnych dokonanych przez Najemcę (art. 676 k.c. – brak w materiale).</w:t>
      </w:r>
      <w:r>
        <w:t xml:space="preserve"> </w:t>
      </w:r>
      <w:r>
        <w:t xml:space="preserve">4.</w:t>
      </w:r>
      <w:r>
        <w:t xml:space="preserve"> </w:t>
      </w:r>
      <w:r>
        <w:rPr>
          <w:b/>
          <w:bCs/>
        </w:rPr>
        <w:t xml:space="preserve">Wypowiedzenie umowy najmu:</w:t>
      </w:r>
      <w:r>
        <w:t xml:space="preserve"> </w:t>
      </w:r>
      <w:r>
        <w:t xml:space="preserve">Ocena zasadności i skuteczności wypowiedzenia umowy najmu przez Wynajmującego.</w:t>
      </w:r>
    </w:p>
    <w:bookmarkEnd w:id="13"/>
    <w:bookmarkStart w:id="14" w:name="X70ee67ed428ba41a3b0edf13cc19fbce41ca98a"/>
    <w:p>
      <w:pPr>
        <w:pStyle w:val="Heading3"/>
      </w:pPr>
      <w:r>
        <w:t xml:space="preserve">Orzecznictwo dotyczące ciężaru dowodu i oceny materiału dowodowego (z uwagi na brak orzeczeń bezpośrednio do kaucji/nakładów w najmie)</w:t>
      </w:r>
    </w:p>
    <w:p>
      <w:pPr>
        <w:pStyle w:val="FirstParagraph"/>
      </w:pPr>
      <w:r>
        <w:rPr>
          <w:b/>
          <w:bCs/>
        </w:rPr>
        <w:t xml:space="preserve">1. Teza główna</w:t>
      </w:r>
      <w:r>
        <w:t xml:space="preserve"> </w:t>
      </w:r>
      <w:r>
        <w:t xml:space="preserve">W polskim orzecznictwie sądów powszechnych ukształtowała się stabilna linia dotycząca ciężaru dowodu (onus probandi) w postępowaniu cywilnym. Punkt ciężkości sporu w sprawach o zapłatę lub roszczenia odszkodowawcze leży na powodzie, który musi wykazać istnienie i wysokość dochodzonej wierzytelności oraz fakty, z których wywodzi skutki prawne. Orzecznictwo konsekwentnie podkreśla, że samo twierdzenie o istnieniu roszczenia lub złożenie jednostronnego dokumentu (np. wyciągu z ksiąg funduszu sekurytyzacyjnego, jednostronnego zestawienia kosztów) nie jest wystarczające do udowodnienia roszczenia, jeżeli budzi ono uzasadnione wątpliwości lub nie jest poparte odpowiednimi dowodami źródłowymi. Nowsze orzecznictwo podtrzymuje tę linię, doprecyzowując wymogi dowodowe i kładąc nacisk na rzetelną ocenę całego materiału dowodowego.</w:t>
      </w:r>
    </w:p>
    <w:p>
      <w:pPr>
        <w:pStyle w:val="BodyText"/>
      </w:pPr>
      <w:r>
        <w:rPr>
          <w:b/>
          <w:bCs/>
        </w:rPr>
        <w:t xml:space="preserve">2. Zagadnienie prawne i zakres analizy</w:t>
      </w:r>
      <w:r>
        <w:t xml:space="preserve"> </w:t>
      </w:r>
      <w:r>
        <w:t xml:space="preserve">Analiza dotyczy przepisów proceduralnych, w szczególności art. 6 Kodeksu cywilnego (zasada ciężaru dowodu – brak w dostępnym materiale, ale często przywoływany w orzeczeniach) oraz art. 232 i 339 § 2 Kodeksu postępowania cywilnego, regulujących obowiązek stron w zakresie wskazywania dowodów i konsekwencje nieprzedstawienia dowodów lub braku udziału w rozprawie. Zakres materiału obejmuje orzeczenia sądów powszechnych z lat 2013-2019, głównie w sprawach o zapłatę.</w:t>
      </w:r>
    </w:p>
    <w:p>
      <w:pPr>
        <w:pStyle w:val="BodyText"/>
      </w:pPr>
      <w:r>
        <w:rPr>
          <w:b/>
          <w:bCs/>
        </w:rPr>
        <w:t xml:space="preserve">3. Założenia przyjmowane w orzecznictwie</w:t>
      </w:r>
      <w:r>
        <w:t xml:space="preserve"> </w:t>
      </w:r>
      <w:r>
        <w:t xml:space="preserve">*</w:t>
      </w:r>
      <w:r>
        <w:t xml:space="preserve"> </w:t>
      </w:r>
      <w:r>
        <w:rPr>
          <w:b/>
          <w:bCs/>
        </w:rPr>
        <w:t xml:space="preserve">Zasada kontradyktoryjności:</w:t>
      </w:r>
      <w:r>
        <w:t xml:space="preserve"> </w:t>
      </w:r>
      <w:r>
        <w:t xml:space="preserve">Obowiązek przedstawienia dowodów spoczywa na stronach, a nie na sądzie (art. 232 KPC) [Źródło 5, Źródło 12, Źródło 13, Źródło 14, Źródło 15].</w:t>
      </w:r>
      <w:r>
        <w:t xml:space="preserve"> </w:t>
      </w:r>
      <w:r>
        <w:t xml:space="preserve">*</w:t>
      </w:r>
      <w:r>
        <w:t xml:space="preserve"> </w:t>
      </w:r>
      <w:r>
        <w:rPr>
          <w:b/>
          <w:bCs/>
        </w:rPr>
        <w:t xml:space="preserve">Wiarygodność dowodów:</w:t>
      </w:r>
      <w:r>
        <w:t xml:space="preserve"> </w:t>
      </w:r>
      <w:r>
        <w:t xml:space="preserve">Sąd ocenia wiarygodność i moc dowodową na podstawie wszechstronnego rozważenia zebranego materiału, zgodnie z zasadami logicznego rozumowania i doświadczenia życiowego (art. 233 § 1 KPC – brak w dostępnym materiale, ale zasada ogólna).</w:t>
      </w:r>
      <w:r>
        <w:t xml:space="preserve"> </w:t>
      </w:r>
      <w:r>
        <w:t xml:space="preserve">*</w:t>
      </w:r>
      <w:r>
        <w:t xml:space="preserve"> </w:t>
      </w:r>
      <w:r>
        <w:rPr>
          <w:b/>
          <w:bCs/>
        </w:rPr>
        <w:t xml:space="preserve">Domniemanie prawdziwości twierdzeń powoda (wyrok zaoczny):</w:t>
      </w:r>
      <w:r>
        <w:t xml:space="preserve"> </w:t>
      </w:r>
      <w:r>
        <w:t xml:space="preserve">Domniemanie z art. 339 § 2 KPC jest wzruszalne i nie ma zastosowania, jeśli twierdzenia powoda budzą uzasadnione wątpliwości lub nie są poparte wiarygodnymi dowodami [Źródło 5, Źródło 12, Źródło 13, Źródło 14, Źródło 15].</w:t>
      </w:r>
      <w:r>
        <w:t xml:space="preserve"> </w:t>
      </w:r>
      <w:r>
        <w:t xml:space="preserve">*</w:t>
      </w:r>
      <w:r>
        <w:t xml:space="preserve"> </w:t>
      </w:r>
      <w:r>
        <w:rPr>
          <w:b/>
          <w:bCs/>
        </w:rPr>
        <w:t xml:space="preserve">Kwestie dowodowe w przypadku cesji wierzytelności:</w:t>
      </w:r>
      <w:r>
        <w:t xml:space="preserve"> </w:t>
      </w:r>
      <w:r>
        <w:t xml:space="preserve">Warunkiem otrzymania należności przez nabywcę długu jest udowodnienie, że takie prawo przysługiwało pierwotnemu wierzycielowi [Źródło 12, Źródło 13, Źródło 14, Źródło 15].</w:t>
      </w:r>
    </w:p>
    <w:p>
      <w:pPr>
        <w:pStyle w:val="BodyText"/>
      </w:pPr>
      <w:r>
        <w:rPr>
          <w:b/>
          <w:bCs/>
        </w:rPr>
        <w:t xml:space="preserve">4. Przegląd orzecznictwa Sądu Najwyższego i sądów najwyższych</w:t>
      </w:r>
      <w:r>
        <w:t xml:space="preserve"> </w:t>
      </w:r>
      <w:r>
        <w:t xml:space="preserve">Brak bezpośrednich orzeczeń Sądu Najwyższego w dostarczonym materiale dotyczących kaucji, potrąceń z kaucji lub nakładów w najmie lokali użytkowych. W orzeczeniach sądów powszechnych często przywoływany jest wyrok Sądu Najwyższego z dnia 12 lipca 2006 r., sygn. V CSK 187/06, który stanowi, że w przypadku cesji wierzytelności warunkiem otrzymania należności przez nabywcę długu jest udowodnienie, że takie prawo przysługiwało pierwotnemu wierzycielowi [Źródło 12, Źródło 13, Źródło 14, Źródło 15].</w:t>
      </w:r>
    </w:p>
    <w:p>
      <w:pPr>
        <w:pStyle w:val="BodyText"/>
      </w:pPr>
      <w:r>
        <w:rPr>
          <w:b/>
          <w:bCs/>
        </w:rPr>
        <w:t xml:space="preserve">5. Orzeczenia sądów powszechnych porządkujące praktykę</w:t>
      </w:r>
    </w:p>
    <w:tbl>
      <w:tblPr>
        <w:tblStyle w:val="Table"/>
        <w:tblW w:type="pct" w:w="5000"/>
        <w:tblLayout w:type="fixed"/>
        <w:tblLook w:firstRow="1" w:lastRow="0" w:firstColumn="0" w:lastColumn="0" w:noHBand="0" w:noVBand="0" w:val="0020"/>
      </w:tblPr>
      <w:tblGrid>
        <w:gridCol w:w="1516"/>
        <w:gridCol w:w="3033"/>
        <w:gridCol w:w="3370"/>
      </w:tblGrid>
      <w:tr>
        <w:trPr>
          <w:tblHeader w:val="on"/>
        </w:trPr>
        <w:tc>
          <w:tcPr/>
          <w:p>
            <w:pPr>
              <w:pStyle w:val="Compact"/>
              <w:jc w:val="left"/>
            </w:pPr>
            <w:r>
              <w:t xml:space="preserve">Orzeczenie</w:t>
            </w:r>
          </w:p>
        </w:tc>
        <w:tc>
          <w:tcPr/>
          <w:p>
            <w:pPr>
              <w:pStyle w:val="Compact"/>
              <w:jc w:val="left"/>
            </w:pPr>
            <w:r>
              <w:t xml:space="preserve">Teza podsumowująca</w:t>
            </w:r>
          </w:p>
        </w:tc>
        <w:tc>
          <w:tcPr/>
          <w:p>
            <w:pPr>
              <w:pStyle w:val="Compact"/>
              <w:jc w:val="left"/>
            </w:pPr>
            <w:r>
              <w:t xml:space="preserve">Znaczenie praktyczne</w:t>
            </w:r>
          </w:p>
        </w:tc>
      </w:tr>
      <w:tr>
        <w:tc>
          <w:tcPr/>
          <w:p>
            <w:pPr>
              <w:pStyle w:val="Compact"/>
              <w:jc w:val="left"/>
            </w:pPr>
            <w:r>
              <w:t xml:space="preserve">Sąd powszechny I C 218/19, 23 grudnia 2019 r. [Źródło 1]</w:t>
            </w:r>
          </w:p>
        </w:tc>
        <w:tc>
          <w:tcPr/>
          <w:p>
            <w:pPr>
              <w:pStyle w:val="Compact"/>
              <w:jc w:val="left"/>
            </w:pPr>
            <w:r>
              <w:t xml:space="preserve">Powód dochodzący odszkodowania z tytułu różnicy między wpłaconymi a wypłaconymi kwotami (w kontekście ubezpieczenia) musi wykazać poniesioną szkodę i związek przyczynowy. Wskazanie art. 415 k.c. (brak w dostępnym stanie prawnym) jako podstawy roszczeń odszkodowawczych jest zasadne.</w:t>
            </w:r>
          </w:p>
        </w:tc>
        <w:tc>
          <w:tcPr/>
          <w:p>
            <w:pPr>
              <w:pStyle w:val="Compact"/>
              <w:jc w:val="left"/>
            </w:pPr>
            <w:r>
              <w:t xml:space="preserve">Potwierdza konieczność udowodnienia szkody i związku przyczynowego.</w:t>
            </w:r>
          </w:p>
        </w:tc>
      </w:tr>
      <w:tr>
        <w:tc>
          <w:tcPr/>
          <w:p>
            <w:pPr>
              <w:pStyle w:val="Compact"/>
              <w:jc w:val="left"/>
            </w:pPr>
            <w:r>
              <w:t xml:space="preserve">Sąd powszechny XIII Ga 1144/15, 15 czerwca 2016 r. [Źródło 3]</w:t>
            </w:r>
          </w:p>
        </w:tc>
        <w:tc>
          <w:tcPr/>
          <w:p>
            <w:pPr>
              <w:pStyle w:val="Compact"/>
              <w:jc w:val="left"/>
            </w:pPr>
            <w:r>
              <w:t xml:space="preserve">Zarzut naruszenia art. 233 § 1 k.p.c. nie może się ostać, gdy materiał dowodowy nie daje podstaw do wniosków konkurencyjnych. Umowy ustne są nadal powszechne w życiu gospodarczym, a brak pisemnej umowy nie wyklucza istnienia stosunku zobowiązaniowego. Potwierdza, że na powodzie ciąży obowiązek wykazania roszczenia (art. 6 k.c. – brak w dostępnym stanie prawnym).</w:t>
            </w:r>
          </w:p>
        </w:tc>
        <w:tc>
          <w:tcPr/>
          <w:p>
            <w:pPr>
              <w:pStyle w:val="Compact"/>
              <w:jc w:val="left"/>
            </w:pPr>
            <w:r>
              <w:t xml:space="preserve">Podkreśla znaczenie wiarygodności i wszechstronnej oceny dowodów oraz możliwość istnienia umów ustnych.</w:t>
            </w:r>
          </w:p>
        </w:tc>
      </w:tr>
      <w:tr>
        <w:tc>
          <w:tcPr/>
          <w:p>
            <w:pPr>
              <w:pStyle w:val="Compact"/>
              <w:jc w:val="left"/>
            </w:pPr>
            <w:r>
              <w:t xml:space="preserve">Sąd powszechny I C 3559/17, 10 stycznia 2018 r. [Źródło 5]</w:t>
            </w:r>
          </w:p>
        </w:tc>
        <w:tc>
          <w:tcPr/>
          <w:p>
            <w:pPr>
              <w:pStyle w:val="Compact"/>
              <w:jc w:val="left"/>
            </w:pPr>
            <w:r>
              <w:t xml:space="preserve">Powód dochodzący zapłaty jest zobowiązany udowodnić istnienie wierzytelności, jej podstawę, wysokość i wymagalność. Twierdzenia powoda w pozwie, nawet w przypadku niestawiennictwa pozwanego (art. 339 § 2 k.p.c.), nie są przyjmowane za prawdziwe, jeśli budzą uzasadnione wątpliwości lub nie są poparte wystarczającymi dowodami.</w:t>
            </w:r>
          </w:p>
        </w:tc>
        <w:tc>
          <w:tcPr/>
          <w:p>
            <w:pPr>
              <w:pStyle w:val="Compact"/>
              <w:jc w:val="left"/>
            </w:pPr>
            <w:r>
              <w:t xml:space="preserve">Wzmacnia obowiązek dowodowy powoda i dopuszczalność oddalenia powództwa jako nieudowodnionego.</w:t>
            </w:r>
          </w:p>
        </w:tc>
      </w:tr>
      <w:tr>
        <w:tc>
          <w:tcPr/>
          <w:p>
            <w:pPr>
              <w:pStyle w:val="Compact"/>
              <w:jc w:val="left"/>
            </w:pPr>
            <w:r>
              <w:t xml:space="preserve">Sąd powszechny II Ca 703/14, 18 listopada 2014 r. [Źródło 9]</w:t>
            </w:r>
          </w:p>
        </w:tc>
        <w:tc>
          <w:tcPr/>
          <w:p>
            <w:pPr>
              <w:pStyle w:val="Compact"/>
              <w:jc w:val="left"/>
            </w:pPr>
            <w:r>
              <w:t xml:space="preserve">Sąd nie jest zwolniony z obowiązku dokonania oceny przeprowadzonych dowodów i zasadności argumentacji stron, nawet w postępowaniu uproszczonym. Uzasadnienie orzeczenia musi zawierać elementy wskazane w art. 328 § 2 k.p.c. (brak w dostępnym stanie prawnym).</w:t>
            </w:r>
          </w:p>
        </w:tc>
        <w:tc>
          <w:tcPr/>
          <w:p>
            <w:pPr>
              <w:pStyle w:val="Compact"/>
              <w:jc w:val="left"/>
            </w:pPr>
            <w:r>
              <w:t xml:space="preserve">Podkreśla konieczność rzetelnej oceny dowodów i prawidłowego uzasadnienia.</w:t>
            </w:r>
          </w:p>
        </w:tc>
      </w:tr>
      <w:tr>
        <w:tc>
          <w:tcPr/>
          <w:p>
            <w:pPr>
              <w:pStyle w:val="Compact"/>
              <w:jc w:val="left"/>
            </w:pPr>
            <w:r>
              <w:t xml:space="preserve">Sąd powszechny I C 2015/17, 12 października 2017 r. [Źródło 12]</w:t>
            </w:r>
          </w:p>
        </w:tc>
        <w:tc>
          <w:tcPr/>
          <w:p>
            <w:pPr>
              <w:pStyle w:val="Compact"/>
              <w:jc w:val="left"/>
            </w:pPr>
            <w:r>
              <w:t xml:space="preserve">Powód musi wykazać istnienie wierzytelności pierwotnego wierzyciela oraz to, że nabył od niego konkretną wierzytelność dochodzoną pozwem. Sąd nie jest zobowiązany do przeprowadzenia z urzędu dowodów.</w:t>
            </w:r>
          </w:p>
        </w:tc>
        <w:tc>
          <w:tcPr/>
          <w:p>
            <w:pPr>
              <w:pStyle w:val="Compact"/>
              <w:jc w:val="left"/>
            </w:pPr>
            <w:r>
              <w:t xml:space="preserve">Kluczowe dla cesji wierzytelności: należy udowodnić nie tylko cesję, ale i istnienie długu u pierwotnego wierzyciela.</w:t>
            </w:r>
          </w:p>
        </w:tc>
      </w:tr>
      <w:tr>
        <w:tc>
          <w:tcPr/>
          <w:p>
            <w:pPr>
              <w:pStyle w:val="Compact"/>
              <w:jc w:val="left"/>
            </w:pPr>
            <w:r>
              <w:t xml:space="preserve">Sąd powszechny I C 1008/17, 8 sierpnia 2017 r. [Źródło 13]</w:t>
            </w:r>
          </w:p>
        </w:tc>
        <w:tc>
          <w:tcPr/>
          <w:p>
            <w:pPr>
              <w:pStyle w:val="Compact"/>
              <w:jc w:val="left"/>
            </w:pPr>
            <w:r>
              <w:t xml:space="preserve">Powód nie wykazał istnienia wierzytelności pierwotnego wierzyciela, w tym zawarcia i warunków umowy, oraz jej wykonania.</w:t>
            </w:r>
          </w:p>
        </w:tc>
        <w:tc>
          <w:tcPr/>
          <w:p>
            <w:pPr>
              <w:pStyle w:val="Compact"/>
              <w:jc w:val="left"/>
            </w:pPr>
            <w:r>
              <w:t xml:space="preserve">Podkreśla, że dokumenty muszą być kompletne i jednoznaczne.</w:t>
            </w:r>
          </w:p>
        </w:tc>
      </w:tr>
      <w:tr>
        <w:tc>
          <w:tcPr/>
          <w:p>
            <w:pPr>
              <w:pStyle w:val="Compact"/>
              <w:jc w:val="left"/>
            </w:pPr>
            <w:r>
              <w:t xml:space="preserve">Sąd powszechny I C 1769/17, 28 września 2017 r. [Źródło 14]</w:t>
            </w:r>
          </w:p>
        </w:tc>
        <w:tc>
          <w:tcPr/>
          <w:p>
            <w:pPr>
              <w:pStyle w:val="Compact"/>
              <w:jc w:val="left"/>
            </w:pPr>
            <w:r>
              <w:t xml:space="preserve">Podkreśla, że powód musi przedstawić wystarczające dowody wskazujące na istnienie wierzytelności pierwotnego wierzyciela oraz to, że nabył od tego wierzyciela konkretną wierzytelność.</w:t>
            </w:r>
          </w:p>
        </w:tc>
        <w:tc>
          <w:tcPr/>
          <w:p>
            <w:pPr>
              <w:pStyle w:val="Compact"/>
              <w:jc w:val="left"/>
            </w:pPr>
            <w:r>
              <w:t xml:space="preserve">Wzmacnia standard dowodowy dla nabywców wierzytelności.</w:t>
            </w:r>
          </w:p>
        </w:tc>
      </w:tr>
      <w:tr>
        <w:tc>
          <w:tcPr/>
          <w:p>
            <w:pPr>
              <w:pStyle w:val="Compact"/>
              <w:jc w:val="left"/>
            </w:pPr>
            <w:r>
              <w:t xml:space="preserve">Sąd powszechny I C 1634/17, 3 października 2017 r. [Źródło 15]</w:t>
            </w:r>
          </w:p>
        </w:tc>
        <w:tc>
          <w:tcPr/>
          <w:p>
            <w:pPr>
              <w:pStyle w:val="Compact"/>
              <w:jc w:val="left"/>
            </w:pPr>
            <w:r>
              <w:t xml:space="preserve">Niekompletne lub nieczytelne kserokopie umów, bądź brak pewności co do ich pochodzenia lub doręczenia, nie stanowią wystarczających dowodów.</w:t>
            </w:r>
          </w:p>
        </w:tc>
        <w:tc>
          <w:tcPr/>
          <w:p>
            <w:pPr>
              <w:pStyle w:val="Compact"/>
              <w:jc w:val="left"/>
            </w:pPr>
            <w:r>
              <w:t xml:space="preserve">Zwraca uwagę na formalne wymogi dotyczące dowodów.</w:t>
            </w:r>
          </w:p>
        </w:tc>
      </w:tr>
    </w:tbl>
    <w:p>
      <w:pPr>
        <w:pStyle w:val="BodyText"/>
      </w:pPr>
      <w:r>
        <w:rPr>
          <w:b/>
          <w:bCs/>
        </w:rPr>
        <w:t xml:space="preserve">6. Tezy utrwalone</w:t>
      </w:r>
      <w:r>
        <w:t xml:space="preserve"> </w:t>
      </w:r>
      <w:r>
        <w:t xml:space="preserve">* Ciężar dowodu spoczywa na stronie, która z danego faktu wywodzi skutki prawne (zasada art. 6 k.c. – brak w dostępnym stanie prawnym, ale powszechnie stosowana).</w:t>
      </w:r>
      <w:r>
        <w:t xml:space="preserve"> </w:t>
      </w:r>
      <w:r>
        <w:t xml:space="preserve">* Sąd nie jest zobowiązany do prowadzenia dochodzeń z urzędu w celu uzupełniania twierdzeń stron lub poszukiwania dowodów.</w:t>
      </w:r>
      <w:r>
        <w:t xml:space="preserve"> </w:t>
      </w:r>
      <w:r>
        <w:t xml:space="preserve">* Domniemanie prawdziwości twierdzeń powoda (art. 339 § 2 KPC) jest wzruszalne, a sąd może je obalić, jeśli twierdzenia budzą uzasadnione wątpliwości lub nie są poparte wystarczającymi dowodami.</w:t>
      </w:r>
      <w:r>
        <w:t xml:space="preserve"> </w:t>
      </w:r>
      <w:r>
        <w:t xml:space="preserve">* Dla skutecznego dochodzenia wierzytelności, należy wykazać jej istnienie, wysokość, wymagalność oraz, w przypadku cesji, legitymację czynną.</w:t>
      </w:r>
    </w:p>
    <w:p>
      <w:pPr>
        <w:pStyle w:val="BodyText"/>
      </w:pPr>
      <w:r>
        <w:rPr>
          <w:b/>
          <w:bCs/>
        </w:rPr>
        <w:t xml:space="preserve">7. Rozbieżności i kwestie otwarte</w:t>
      </w:r>
      <w:r>
        <w:t xml:space="preserve"> </w:t>
      </w:r>
      <w:r>
        <w:t xml:space="preserve">W przekazanym materiale brak wyraźnych rozbieżności czy kwestii otwartych w ramach przedstawionych orzeczeń, które dotyczą głównie utrwalonych zasad postępowania dowodowego. Wyzwanie stanowi zawsze praktyczne udowodnienie konkretnych faktów w złożonych stanach faktycznych, zwłaszcza w sprawach granicznych.</w:t>
      </w:r>
    </w:p>
    <w:p>
      <w:pPr>
        <w:pStyle w:val="BodyText"/>
      </w:pPr>
      <w:r>
        <w:rPr>
          <w:b/>
          <w:bCs/>
        </w:rPr>
        <w:t xml:space="preserve">8. Stanowiska doktryny</w:t>
      </w:r>
      <w:r>
        <w:t xml:space="preserve"> </w:t>
      </w:r>
      <w:r>
        <w:t xml:space="preserve">W przekazanym materiale brak stanowisk doktryny.</w:t>
      </w:r>
    </w:p>
    <w:p>
      <w:pPr>
        <w:pStyle w:val="BodyText"/>
      </w:pPr>
      <w:r>
        <w:rPr>
          <w:b/>
          <w:bCs/>
        </w:rPr>
        <w:t xml:space="preserve">9. Znaczenie dla sprawy</w:t>
      </w:r>
      <w:r>
        <w:t xml:space="preserve"> </w:t>
      </w:r>
      <w:r>
        <w:t xml:space="preserve">W niniejszej sprawie kluczowe będzie, aby Najemca (Państwa Klient) skutecznie wykazał:</w:t>
      </w:r>
      <w:r>
        <w:t xml:space="preserve"> </w:t>
      </w:r>
      <w:r>
        <w:t xml:space="preserve">* Brak swojej winy za awarię instalacji kanalizacyjnej i zalanie lokalu.</w:t>
      </w:r>
      <w:r>
        <w:t xml:space="preserve"> </w:t>
      </w:r>
      <w:r>
        <w:t xml:space="preserve">* Odpowiedzialność Wynajmującego za awarię (jako właściciela budynku i jego instalacji pionowych).</w:t>
      </w:r>
      <w:r>
        <w:t xml:space="preserve"> </w:t>
      </w:r>
      <w:r>
        <w:t xml:space="preserve">* Faktyczne poniesienie szkody oraz jej wysokość (za sprzęt i remont).</w:t>
      </w:r>
      <w:r>
        <w:t xml:space="preserve"> </w:t>
      </w:r>
      <w:r>
        <w:t xml:space="preserve">* Fakt istnienia i wysokość utraconych korzyści.</w:t>
      </w:r>
      <w:r>
        <w:t xml:space="preserve"> </w:t>
      </w:r>
      <w:r>
        <w:t xml:space="preserve">* Brak podstaw umownych do żądania uzupełnienia kaucji.</w:t>
      </w:r>
      <w:r>
        <w:t xml:space="preserve"> </w:t>
      </w:r>
      <w:r>
        <w:t xml:space="preserve">Wynajmujący natomiast będzie musiał udowodnić swoją szkodę, jej wysokość oraz winę Najemcy, co do tej pory nie miało miejsca w sposób transparentny (jednostronne zestawienie kosztów bez faktur) [Źródło 1].</w:t>
      </w:r>
    </w:p>
    <w:p>
      <w:pPr>
        <w:pStyle w:val="BodyText"/>
      </w:pPr>
      <w:r>
        <w:rPr>
          <w:b/>
          <w:bCs/>
        </w:rPr>
        <w:t xml:space="preserve">10. Wniosek końcowy</w:t>
      </w:r>
      <w:r>
        <w:t xml:space="preserve"> </w:t>
      </w:r>
      <w:r>
        <w:t xml:space="preserve">Obowiązek udowodnienia faktów spoczywa na każdej ze stron, która wywodzi z nich skutki prawne. W niniejszej sprawie Najemca ma silne argumenty do kwestionowania działań Wynajmującego, pod warunkiem zgromadzenia i przedstawienia odpowiednich dowodów. Innymi słowy: skuteczność roszczeń Najemcy będzie zależała od rzetelnego przygotowania materiału dowodowego i jasnego wykazania podstaw prawnych każdego żądania.</w:t>
      </w:r>
    </w:p>
    <w:bookmarkEnd w:id="14"/>
    <w:bookmarkStart w:id="15" w:name="X817fe2da8385ac4af382ea53aec2835d0c4556e"/>
    <w:p>
      <w:pPr>
        <w:pStyle w:val="Heading3"/>
      </w:pPr>
      <w:r>
        <w:t xml:space="preserve">Odpowiedź na wszystkie zagadnienia z części III kazusu – punkt po punkcie</w:t>
      </w:r>
    </w:p>
    <w:p>
      <w:pPr>
        <w:pStyle w:val="FirstParagraph"/>
      </w:pPr>
      <w:r>
        <w:rPr>
          <w:b/>
          <w:bCs/>
        </w:rPr>
        <w:t xml:space="preserve">1. Ocena ważności i skuteczności jednostronnego potrącenia przez Wynajmującego całej kaucji w dniu 10.05.2025 r. w świetle art. 659(1)–663 Kodeksu cywilnego oraz art. 455 k.c. (dobra wiara) – czy potrącenie było dopuszczalne bez uprzedniego wykazania szkody i przedstawienia dokumentów księgowych?</w:t>
      </w:r>
      <w:r>
        <w:t xml:space="preserve"> </w:t>
      </w:r>
      <w:r>
        <w:t xml:space="preserve">*</w:t>
      </w:r>
      <w:r>
        <w:t xml:space="preserve"> </w:t>
      </w:r>
      <w:r>
        <w:rPr>
          <w:b/>
          <w:bCs/>
        </w:rPr>
        <w:t xml:space="preserve">Ważność i skuteczność potrącenia:</w:t>
      </w:r>
      <w:r>
        <w:t xml:space="preserve"> </w:t>
      </w:r>
      <w:r>
        <w:t xml:space="preserve">Potrącenie to instytucja prawa cywilnego (art. 498 k.c. – brak w dostępnym stanie prawnym), pozwalająca na wzajemne umorzenie wierzytelności, gdy dwie osoby są jednocześnie względem siebie dłużnikami i wierzycielami. Z zasady potrącenie jest jednostronną czynnością prawną, która wymaga złożenia oświadczenia woli drugiej stronie. Umowa najmu przewiduje prawo Wynajmującego do potrącenia kwoty szkody z kaucji (§12 ust.3) [Źródło 1].</w:t>
      </w:r>
      <w:r>
        <w:t xml:space="preserve"> </w:t>
      </w:r>
      <w:r>
        <w:t xml:space="preserve">*</w:t>
      </w:r>
      <w:r>
        <w:t xml:space="preserve"> </w:t>
      </w:r>
      <w:r>
        <w:rPr>
          <w:b/>
          <w:bCs/>
        </w:rPr>
        <w:t xml:space="preserve">Brak uprzedniego wykazania szkody i dokumentów księgowych:</w:t>
      </w:r>
      <w:r>
        <w:t xml:space="preserve"> </w:t>
      </w:r>
      <w:r>
        <w:t xml:space="preserve">Kluczowym elementem dla skuteczności potrącenia jest istnienie i wymagalność wierzytelności, którą potrącający chce umorzyć. W tym przypadku, Wynajmujący dokonał ustnego oświadczenia o potrąceniu 36 000 zł z kaucji na pokrycie kosztów napraw i remontu, sporządzając jednostronne zestawienie kosztów bez załączonych faktur wystawionych na jego nazwisko [Źródło 1].</w:t>
      </w:r>
      <w:r>
        <w:t xml:space="preserve"> </w:t>
      </w:r>
      <w:r>
        <w:t xml:space="preserve">* W świetle orzecznictwa sądowego [Źródło 5, Źródło 12, Źródło 13, Źródło 14, Źródło 15], samo twierdzenie o istnieniu szkody i jej wysokości, bez przedstawienia wiarygodnych dowodów (takich jak faktury, kosztorysy, protokoły odbioru prac), jest niewystarczające. Powód (w tym przypadku Wynajmujący, który potrącił wierzytelność, a w przypadku sporu będzie musiał bronić jej istnienia) jest zobowiązany udowodnić istnienie i wysokość dochodzonej wierzytelności. Brak faktur wystawionych na Wynajmującego i jedynie jednostronne zestawienie budzi uzasadnione wątpliwości co do rzeczywistego poniesienia kosztów i ich związku ze szkodą [Źródło 1, Źródło 5, Źródło 12, Źródło 13, Źródło 14, Źródło 15].</w:t>
      </w:r>
      <w:r>
        <w:t xml:space="preserve"> </w:t>
      </w:r>
      <w:r>
        <w:t xml:space="preserve">*</w:t>
      </w:r>
      <w:r>
        <w:t xml:space="preserve"> </w:t>
      </w:r>
      <w:r>
        <w:rPr>
          <w:b/>
          <w:bCs/>
        </w:rPr>
        <w:t xml:space="preserve">Wniosek:</w:t>
      </w:r>
      <w:r>
        <w:t xml:space="preserve"> </w:t>
      </w:r>
      <w:r>
        <w:t xml:space="preserve">Jednostronne potrącenie dokonane przez Wynajmującego jest</w:t>
      </w:r>
      <w:r>
        <w:t xml:space="preserve"> </w:t>
      </w:r>
      <w:r>
        <w:rPr>
          <w:b/>
          <w:bCs/>
        </w:rPr>
        <w:t xml:space="preserve">nieskuteczne</w:t>
      </w:r>
      <w:r>
        <w:t xml:space="preserve">, ponieważ Wynajmujący nie wykazał w sposób należyty istnienia i wysokości wierzytelności (szkody), którą miałby prawo potrącić z kaucji. Brak ten stanowi podstawę do dochodzenia przez Najemcę zwrotu całej potrąconej kaucji.</w:t>
      </w:r>
    </w:p>
    <w:p>
      <w:pPr>
        <w:pStyle w:val="BodyText"/>
      </w:pPr>
      <w:r>
        <w:rPr>
          <w:b/>
          <w:bCs/>
        </w:rPr>
        <w:t xml:space="preserve">2. Ocena obowiązków Wynajmującego i Najemcy co do napraw instalacji pionowych (kanalizacja, wentylacja) w świetle §10 umowy i przepisów kodeksu cywilnego (art. 662–663, 673–679 k.c.), oraz rozstrzygnięcie kwestii odpowiedzialności za zalanie 15.03.2025 r. (czy szkoda powinna obciążyć Wynajmującego jako właściciela budynku; rola zarządu budynku/wspólnoty). Ustalić kryteria wykazania przyczyny zalania i winy strony.</w:t>
      </w:r>
      <w:r>
        <w:t xml:space="preserve"> </w:t>
      </w:r>
      <w:r>
        <w:t xml:space="preserve">*</w:t>
      </w:r>
      <w:r>
        <w:t xml:space="preserve"> </w:t>
      </w:r>
      <w:r>
        <w:rPr>
          <w:b/>
          <w:bCs/>
        </w:rPr>
        <w:t xml:space="preserve">Brak w aktualnym stanie prawnym art. 662–663 k.c. i 673–679 k.c.</w:t>
      </w:r>
      <w:r>
        <w:t xml:space="preserve"> </w:t>
      </w:r>
      <w:r>
        <w:t xml:space="preserve">*</w:t>
      </w:r>
      <w:r>
        <w:t xml:space="preserve"> </w:t>
      </w:r>
      <w:r>
        <w:rPr>
          <w:b/>
          <w:bCs/>
        </w:rPr>
        <w:t xml:space="preserve">Obowiązki Wynajmującego:</w:t>
      </w:r>
      <w:r>
        <w:t xml:space="preserve"> </w:t>
      </w:r>
      <w:r>
        <w:t xml:space="preserve">Zgodnie z ogólnymi zasadami prawa najmu, Wynajmujący jest odpowiedzialny za stan techniczny przedmiotu najmu oraz za utrzymanie w należytym stanie instalacji i urządzeń budynku, które służą do użytku wszystkich lokatorów (tzw. części wspólnych). Instalacje pionowe (kanalizacja, wentylacja) należą do części wspólnych budynku. Awaria takiej instalacji, jeśli nie wynika z rażącego zaniedbania Najemcy w zakresie korzystania z lokalu, zazwyczaj obciąża Wynajmującego jako właściciela nieruchomości lub wspólnotę/zarząd nieruchomością (jeśli Wynajmujący jest członkiem wspólnoty). Orzeczenie [10] II C 69/15, choć dotyczy wspólnoty mieszkaniowej, wskazuje na odpowiedzialność za utrzymanieczęści wspólnych, co jest analogiczne do odpowiedzialności Wynajmującego za sprawność instalacji pionowych w budynku.</w:t>
      </w:r>
      <w:r>
        <w:t xml:space="preserve"> </w:t>
      </w:r>
      <w:r>
        <w:t xml:space="preserve">*</w:t>
      </w:r>
      <w:r>
        <w:t xml:space="preserve"> </w:t>
      </w:r>
      <w:r>
        <w:rPr>
          <w:b/>
          <w:bCs/>
        </w:rPr>
        <w:t xml:space="preserve">Odpowiedzialność za zalanie:</w:t>
      </w:r>
      <w:r>
        <w:t xml:space="preserve"> </w:t>
      </w:r>
      <w:r>
        <w:t xml:space="preserve">Najemca wskazuje, że zalanie było spowodowane wadą instalacji pionowej budynku, natomiast Wynajmujący obarczył Najemcę odpowiedzialnością na podstawie §10 ust.1 umowy i wskazał na „nienależytą eksploatację części wspólnych” [Źródło 1]. Bez dostępu do pełnego brzmienia §10 umowy oraz art. 662-663 KC, ogólnie przyjmuje się, że Wynajmujący jako właściciel budynku jest odpowiedzialny za utrzymanie w należytym stanie technicznym instalacji stanowiących części wspólne, chyba że w umowie najmu wyraźnie i skutecznie przeniesiono tę odpowiedzialność na Najemcę, co w przypadku wad konstrukcyjnych lub ukrytych wad instalacji jest trudne do udowodnienia. Argumentacja Wynajmującego dotycząca „nienależytej eksploatacji części wspólnych” przez Najemcę wydaje się mało prawdopodobna w przypadku awarii instalacji kanalizacyjnej pionowej.</w:t>
      </w:r>
      <w:r>
        <w:t xml:space="preserve"> </w:t>
      </w:r>
      <w:r>
        <w:t xml:space="preserve">*</w:t>
      </w:r>
      <w:r>
        <w:t xml:space="preserve"> </w:t>
      </w:r>
      <w:r>
        <w:rPr>
          <w:b/>
          <w:bCs/>
        </w:rPr>
        <w:t xml:space="preserve">Kryteria wykazania przyczyny zalania i winy strony:</w:t>
      </w:r>
      <w:r>
        <w:t xml:space="preserve"> </w:t>
      </w:r>
      <w:r>
        <w:t xml:space="preserve">Ciężar dowodu spoczywa na stronie, która z danego faktu wywodzi skutki prawne. W tym przypadku, to Wynajmujący (jeśli będzie dochodził zapłaty) lub Najemca (jeśli będzie dochodził odszkodowania) będzie musiał wykazać przyczynę zalania i winę drugiej strony. Aby wykazać odpowiedzialność Wynajmującego, Najemca powinien udowodnić, że awaria była wadą konstrukcyjną lub techniczną instalacji pionowej (części wspólnej), za którą odpowiada Wynajmujący. Do tego celu niezbędne będą dowody wskazane w punkcie 5.</w:t>
      </w:r>
      <w:r>
        <w:t xml:space="preserve"> </w:t>
      </w:r>
      <w:r>
        <w:t xml:space="preserve">*</w:t>
      </w:r>
      <w:r>
        <w:t xml:space="preserve"> </w:t>
      </w:r>
      <w:r>
        <w:rPr>
          <w:b/>
          <w:bCs/>
        </w:rPr>
        <w:t xml:space="preserve">Wniosek:</w:t>
      </w:r>
      <w:r>
        <w:t xml:space="preserve"> </w:t>
      </w:r>
      <w:r>
        <w:t xml:space="preserve">Odpowiedzialność za zalanie najprawdopodobniej obciąża</w:t>
      </w:r>
      <w:r>
        <w:t xml:space="preserve"> </w:t>
      </w:r>
      <w:r>
        <w:rPr>
          <w:b/>
          <w:bCs/>
        </w:rPr>
        <w:t xml:space="preserve">Wynajmującego</w:t>
      </w:r>
      <w:r>
        <w:t xml:space="preserve">, jako odpowiedzialnego za stan instalacji pionowych w budynku, chyba że zostanie udowodnione rażące niedbalstwo lub niewłaściwa eksploatacja przez Najemcę, co w przypadku awarii instalacji kanalizacyjnej w budynku wydaje się mało prawdopodobne.</w:t>
      </w:r>
    </w:p>
    <w:p>
      <w:pPr>
        <w:pStyle w:val="BodyText"/>
      </w:pPr>
      <w:r>
        <w:rPr>
          <w:b/>
          <w:bCs/>
        </w:rPr>
        <w:t xml:space="preserve">3. Ocena skuteczności żądania uzupełnienia kaucji do 48 000 zł wysuniętego w piśmie z 20.03.2025 r.: czy takie żądanie jest zgodne z umową (analiza §5 i §12) i z zasadami wynikającymi z art. 65 Kodeksu cywilnego (rozumienie obowiązku zabezpieczenia) oraz art. 70 ust.1 ustawy o gospodarce nieruchomościami (jeśli stosowne)? Określić, czy Najemca ma obowiązek dobrowolnego uzupełnienia kaucji i jakie są skutki braku uzupełnienia.</w:t>
      </w:r>
      <w:r>
        <w:t xml:space="preserve"> </w:t>
      </w:r>
      <w:r>
        <w:t xml:space="preserve">*</w:t>
      </w:r>
      <w:r>
        <w:t xml:space="preserve"> </w:t>
      </w:r>
      <w:r>
        <w:rPr>
          <w:b/>
          <w:bCs/>
        </w:rPr>
        <w:t xml:space="preserve">Brak w aktualnym stanie prawnym art. 70 ust. 1 ustawy o gospodarce nieruchomościami.</w:t>
      </w:r>
      <w:r>
        <w:t xml:space="preserve"> </w:t>
      </w:r>
      <w:r>
        <w:t xml:space="preserve">*</w:t>
      </w:r>
      <w:r>
        <w:t xml:space="preserve"> </w:t>
      </w:r>
      <w:r>
        <w:rPr>
          <w:b/>
          <w:bCs/>
        </w:rPr>
        <w:t xml:space="preserve">Zgodność żądania z umową (§5 i §12):</w:t>
      </w:r>
      <w:r>
        <w:t xml:space="preserve"> </w:t>
      </w:r>
      <w:r>
        <w:t xml:space="preserve">Zgodnie z kazusem, umowa przewidywała wpłatę kaucji w wysokości 36 000 zł, stanowiącej równowartość trzymiesięcznego czynszu netto [Źródło 1]. Brak jest informacji o postanowieniach umownych uprawniających Wynajmującego do jednostronnej zmiany wysokości kaucji lub żądania jej uzupełnienia ponad pierwotnie ustaloną kwotę 36 000 zł [Źródło 1]. Żądanie uzupełnienia kaucji do 48 000 zł, powołując się na potrzebę zabezpieczenia przyszłych roszczeń, ale bez podstawy umownej na zmianę jej kwoty, jest</w:t>
      </w:r>
      <w:r>
        <w:t xml:space="preserve"> </w:t>
      </w:r>
      <w:r>
        <w:rPr>
          <w:b/>
          <w:bCs/>
        </w:rPr>
        <w:t xml:space="preserve">niezgodne z umową najmu</w:t>
      </w:r>
      <w:r>
        <w:t xml:space="preserve"> </w:t>
      </w:r>
      <w:r>
        <w:t xml:space="preserve">[Źródło 1].</w:t>
      </w:r>
      <w:r>
        <w:t xml:space="preserve"> </w:t>
      </w:r>
      <w:r>
        <w:t xml:space="preserve">*</w:t>
      </w:r>
      <w:r>
        <w:t xml:space="preserve"> </w:t>
      </w:r>
      <w:r>
        <w:rPr>
          <w:b/>
          <w:bCs/>
        </w:rPr>
        <w:t xml:space="preserve">Zasady wynikające z art. 65 Kodeksu cywilnego (brak w dostępnym stanie prawnym):</w:t>
      </w:r>
      <w:r>
        <w:t xml:space="preserve"> </w:t>
      </w:r>
      <w:r>
        <w:t xml:space="preserve">Art. 65 k.c. dotyczy wykładni oświadczeń woli. Oświadczenie Wynajmującego o żądaniu uzupełnienia kaucji należy interpretować zgodnie z zasadami współżycia społecznego i ustalonymi zwyczajami, biorąc pod uwagę intencje stron przy zawieraniu umowy. Jeśli umowa nie przewiduje możliwości jednostronnej zmiany wysokości kaucji, takie żądanie jest nieuzasadnione.</w:t>
      </w:r>
      <w:r>
        <w:t xml:space="preserve"> </w:t>
      </w:r>
      <w:r>
        <w:t xml:space="preserve">*</w:t>
      </w:r>
      <w:r>
        <w:t xml:space="preserve"> </w:t>
      </w:r>
      <w:r>
        <w:rPr>
          <w:b/>
          <w:bCs/>
        </w:rPr>
        <w:t xml:space="preserve">Obowiązek dobrowolnego uzupełnienia kaucji:</w:t>
      </w:r>
      <w:r>
        <w:t xml:space="preserve"> </w:t>
      </w:r>
      <w:r>
        <w:t xml:space="preserve">Wobec braku podstawy umownej, Najemca</w:t>
      </w:r>
      <w:r>
        <w:t xml:space="preserve"> </w:t>
      </w:r>
      <w:r>
        <w:rPr>
          <w:b/>
          <w:bCs/>
        </w:rPr>
        <w:t xml:space="preserve">nie ma obowiązku dobrowolnego uzupełnienia kaucji</w:t>
      </w:r>
      <w:r>
        <w:t xml:space="preserve"> </w:t>
      </w:r>
      <w:r>
        <w:t xml:space="preserve">do kwoty 48 000 zł.</w:t>
      </w:r>
      <w:r>
        <w:t xml:space="preserve"> </w:t>
      </w:r>
      <w:r>
        <w:t xml:space="preserve">*</w:t>
      </w:r>
      <w:r>
        <w:t xml:space="preserve"> </w:t>
      </w:r>
      <w:r>
        <w:rPr>
          <w:b/>
          <w:bCs/>
        </w:rPr>
        <w:t xml:space="preserve">Skutki braku uzupełnienia:</w:t>
      </w:r>
      <w:r>
        <w:t xml:space="preserve"> </w:t>
      </w:r>
      <w:r>
        <w:t xml:space="preserve">Ponieważ żądanie uzupełnienia kaucji jest bezpodstawne, brak jego realizacji przez Najemcę nie powinien pociągać za sobą negatywnych skutków prawnych (np. podstawy do wypowiedzenia umowy), o ile Najemca nie naruszył innych postanowień umownych. Wypowiedzenie umowy najmu przez Wynajmującego z 28 maja 2025 r. z powodu „rażących naruszeń obowiązków Wynajmującego” [Źródło 1], jeśli było umotywowane brakiem uzupełnienia kaucji (czy też nieusunięciem wad instalacji, za które Najemca nie ponosi odpowiedzialności), może okazać się bezskuteczne.</w:t>
      </w:r>
      <w:r>
        <w:t xml:space="preserve"> </w:t>
      </w:r>
      <w:r>
        <w:t xml:space="preserve">*</w:t>
      </w:r>
      <w:r>
        <w:t xml:space="preserve"> </w:t>
      </w:r>
      <w:r>
        <w:rPr>
          <w:b/>
          <w:bCs/>
        </w:rPr>
        <w:t xml:space="preserve">Wniosek:</w:t>
      </w:r>
      <w:r>
        <w:t xml:space="preserve"> </w:t>
      </w:r>
      <w:r>
        <w:t xml:space="preserve">Żądanie uzupełnienia kaucji jest</w:t>
      </w:r>
      <w:r>
        <w:t xml:space="preserve"> </w:t>
      </w:r>
      <w:r>
        <w:rPr>
          <w:b/>
          <w:bCs/>
        </w:rPr>
        <w:t xml:space="preserve">nieskuteczne i niezgodne z umową</w:t>
      </w:r>
      <w:r>
        <w:t xml:space="preserve">. Najemca nie ma obowiązku dobrowolnego uzupełnienia kaucji.</w:t>
      </w:r>
    </w:p>
    <w:p>
      <w:pPr>
        <w:pStyle w:val="BodyText"/>
      </w:pPr>
      <w:r>
        <w:rPr>
          <w:b/>
          <w:bCs/>
        </w:rPr>
        <w:t xml:space="preserve">4. Terminy i przedawnienie: ustalić, od kiedy i w jakim terminie przedawniają się roszczenia wynikające z potrącenia i rzekomych szkód (art. 118 i 120 k.c., art. 646 k.c. w zakresie najmu) oraz wskazać daty możliwego wniesienia powództwa o zwrot kaucji i o odszkodowanie (w tym wezwania przedsądowe). Ocenę przedawnienia roszczeń wzajemnych (czynsz, szkody, zwrot kaucji).</w:t>
      </w:r>
      <w:r>
        <w:t xml:space="preserve"> </w:t>
      </w:r>
      <w:r>
        <w:t xml:space="preserve">*</w:t>
      </w:r>
      <w:r>
        <w:t xml:space="preserve"> </w:t>
      </w:r>
      <w:r>
        <w:rPr>
          <w:b/>
          <w:bCs/>
        </w:rPr>
        <w:t xml:space="preserve">Brak w aktualnym stanie prawnym art. 118, 120, 646 k.c.</w:t>
      </w:r>
      <w:r>
        <w:t xml:space="preserve"> </w:t>
      </w:r>
      <w:r>
        <w:t xml:space="preserve">*</w:t>
      </w:r>
      <w:r>
        <w:t xml:space="preserve"> </w:t>
      </w:r>
      <w:r>
        <w:rPr>
          <w:b/>
          <w:bCs/>
        </w:rPr>
        <w:t xml:space="preserve">Ogólne zasady przedawnienia (na podstawie dostępnego orzecznictwa i ogólnej wiedzy prawnej):</w:t>
      </w:r>
      <w:r>
        <w:t xml:space="preserve"> </w:t>
      </w:r>
      <w:r>
        <w:t xml:space="preserve">*</w:t>
      </w:r>
      <w:r>
        <w:t xml:space="preserve"> </w:t>
      </w:r>
      <w:r>
        <w:rPr>
          <w:b/>
          <w:bCs/>
        </w:rPr>
        <w:t xml:space="preserve">Roszczenia z umowy najmu:</w:t>
      </w:r>
      <w:r>
        <w:t xml:space="preserve"> </w:t>
      </w:r>
      <w:r>
        <w:t xml:space="preserve">Roszczenia wynikające z umowy najmu, w tym o czynsz, roszczenia o naprawienie szkody z tytułu niewykonania lub nienależytego wykonania umowy, przedawniają się zazwyczaj w terminach wskazanych w kodeksie cywilnym. Roszczenia o świadczenia okresowe (np. czynsz) przedawniają się z upływem trzech lat. Inne roszczenia, jeśli są związane z prowadzeniem działalności gospodarczej przez obie strony, przedawniają się z upływem trzech lat.</w:t>
      </w:r>
      <w:r>
        <w:t xml:space="preserve"> </w:t>
      </w:r>
      <w:r>
        <w:t xml:space="preserve">*</w:t>
      </w:r>
      <w:r>
        <w:t xml:space="preserve"> </w:t>
      </w:r>
      <w:r>
        <w:rPr>
          <w:b/>
          <w:bCs/>
        </w:rPr>
        <w:t xml:space="preserve">Roszczenia o zwrot kaucji:</w:t>
      </w:r>
      <w:r>
        <w:t xml:space="preserve"> </w:t>
      </w:r>
      <w:r>
        <w:t xml:space="preserve">Roszczenie o zwrot kaucji staje się wymagalne z upływem określonego w umowie terminu od dnia opróżnienia lokalu (w tym przypadku 30 dni od opróżnienia lokalu [Źródło 1]). Dopiero od tego momentu rozpoczyna bieg termin przedawnienia. Standardowo jest to 10 lat (dla roszczeń niemajątkowych lub dla roszczeń majątkowych wobec osób nieprowadzących działalności gospodarczej) lub 3 lata (dla roszczeń związanych z działalnością gospodarczą).</w:t>
      </w:r>
      <w:r>
        <w:t xml:space="preserve"> </w:t>
      </w:r>
      <w:r>
        <w:t xml:space="preserve">*</w:t>
      </w:r>
      <w:r>
        <w:t xml:space="preserve"> </w:t>
      </w:r>
      <w:r>
        <w:rPr>
          <w:b/>
          <w:bCs/>
        </w:rPr>
        <w:t xml:space="preserve">Daty w sprawie:</w:t>
      </w:r>
      <w:r>
        <w:t xml:space="preserve"> </w:t>
      </w:r>
      <w:r>
        <w:t xml:space="preserve">*</w:t>
      </w:r>
      <w:r>
        <w:t xml:space="preserve"> </w:t>
      </w:r>
      <w:r>
        <w:rPr>
          <w:b/>
          <w:bCs/>
        </w:rPr>
        <w:t xml:space="preserve">Zalanie:</w:t>
      </w:r>
      <w:r>
        <w:t xml:space="preserve"> </w:t>
      </w:r>
      <w:r>
        <w:t xml:space="preserve">15 marca 2025 r. [Źródło 1]. Od tej daty potencjalnie biegłyby terminy przedawnienia dla roszczeń odszkodowawczych.</w:t>
      </w:r>
      <w:r>
        <w:t xml:space="preserve"> </w:t>
      </w:r>
      <w:r>
        <w:t xml:space="preserve">*</w:t>
      </w:r>
      <w:r>
        <w:t xml:space="preserve"> </w:t>
      </w:r>
      <w:r>
        <w:rPr>
          <w:b/>
          <w:bCs/>
        </w:rPr>
        <w:t xml:space="preserve">Jednostronne potrącenie kaucji przez Wynajmującego:</w:t>
      </w:r>
      <w:r>
        <w:t xml:space="preserve"> </w:t>
      </w:r>
      <w:r>
        <w:t xml:space="preserve">10 maja 2025 r. [Źródło 1].</w:t>
      </w:r>
      <w:r>
        <w:t xml:space="preserve"> </w:t>
      </w:r>
      <w:r>
        <w:t xml:space="preserve">*</w:t>
      </w:r>
      <w:r>
        <w:t xml:space="preserve"> </w:t>
      </w:r>
      <w:r>
        <w:rPr>
          <w:b/>
          <w:bCs/>
        </w:rPr>
        <w:t xml:space="preserve">Wypowiedzenie umowy:</w:t>
      </w:r>
      <w:r>
        <w:t xml:space="preserve"> </w:t>
      </w:r>
      <w:r>
        <w:t xml:space="preserve">28 maja 2025 r. z 12-miesięcznym okresem wypowiedzenia [Źródło 1]. Oznacza to, że umowa najmu zakończy się około 31 maja 2026 r. (zakładając, że wypowiedzenie było skuteczne, a okres wypowiedzenia liczy się od początku następnego miesiąca po miesiącu, w którym dokonano wypowiedzenia).</w:t>
      </w:r>
      <w:r>
        <w:t xml:space="preserve"> </w:t>
      </w:r>
      <w:r>
        <w:t xml:space="preserve">*</w:t>
      </w:r>
      <w:r>
        <w:t xml:space="preserve"> </w:t>
      </w:r>
      <w:r>
        <w:rPr>
          <w:b/>
          <w:bCs/>
        </w:rPr>
        <w:t xml:space="preserve">Ocena przedawnienia roszczeń Najemcy:</w:t>
      </w:r>
      <w:r>
        <w:t xml:space="preserve"> </w:t>
      </w:r>
      <w:r>
        <w:t xml:space="preserve">*</w:t>
      </w:r>
      <w:r>
        <w:t xml:space="preserve"> </w:t>
      </w:r>
      <w:r>
        <w:rPr>
          <w:b/>
          <w:bCs/>
        </w:rPr>
        <w:t xml:space="preserve">Roszczenie o zwrot kaucji:</w:t>
      </w:r>
      <w:r>
        <w:t xml:space="preserve"> </w:t>
      </w:r>
      <w:r>
        <w:t xml:space="preserve">Roszczenie o zwrot kaucji stanie się wymagalne po upływie 30 dni od dnia faktycznego opróżnienia lokalu przez Najemcę (lub po upływie okresu wypowiedzenia, jeśli lokal nie będzie wcześniej opróżniony). Termin przedawnienia rozpocznie bieg od tego momentu. Z uwagi na charakter umowy (najem lokalu użytkowego pomiędzy przedsiębiorcami), termin przedawnienia roszczenia o zwrot kaucji wynosi 3 lata.</w:t>
      </w:r>
      <w:r>
        <w:t xml:space="preserve"> </w:t>
      </w:r>
      <w:r>
        <w:t xml:space="preserve">*</w:t>
      </w:r>
      <w:r>
        <w:t xml:space="preserve"> </w:t>
      </w:r>
      <w:r>
        <w:rPr>
          <w:b/>
          <w:bCs/>
        </w:rPr>
        <w:t xml:space="preserve">Roszczenie o odszkodowanie za straty z zalania:</w:t>
      </w:r>
      <w:r>
        <w:t xml:space="preserve"> </w:t>
      </w:r>
      <w:r>
        <w:t xml:space="preserve">Roszczenie to powstało 15 marca 2025 r. [Źródło 1]. Termin przedawnienia roszczeń odszkodowawczych (kontraktowych lub deliktowych, jeśli wynikają z działalności gospodarczej) wynosi 3 lata.</w:t>
      </w:r>
      <w:r>
        <w:t xml:space="preserve"> </w:t>
      </w:r>
      <w:r>
        <w:t xml:space="preserve">*</w:t>
      </w:r>
      <w:r>
        <w:t xml:space="preserve"> </w:t>
      </w:r>
      <w:r>
        <w:rPr>
          <w:b/>
          <w:bCs/>
        </w:rPr>
        <w:t xml:space="preserve">Roszczenie o utracone przychody/zyski:</w:t>
      </w:r>
      <w:r>
        <w:t xml:space="preserve"> </w:t>
      </w:r>
      <w:r>
        <w:t xml:space="preserve">Również podlega 3-letniemu terminowi przedawnienia, liczonemu od daty powstania szkody (15 marca 2025 r. i w dalszej kolejności w miarę ujawniania się kolejnych utraconych korzyści).</w:t>
      </w:r>
      <w:r>
        <w:t xml:space="preserve"> </w:t>
      </w:r>
      <w:r>
        <w:t xml:space="preserve">*</w:t>
      </w:r>
      <w:r>
        <w:t xml:space="preserve"> </w:t>
      </w:r>
      <w:r>
        <w:rPr>
          <w:b/>
          <w:bCs/>
        </w:rPr>
        <w:t xml:space="preserve">Wezwania przedsądowe:</w:t>
      </w:r>
      <w:r>
        <w:t xml:space="preserve"> </w:t>
      </w:r>
      <w:r>
        <w:t xml:space="preserve">Pisma wzywające do zapłaty lub spełnienia świadczenia (wezwania przedsądowe) co do zasady nie przerywają biegu przedawnienia, chyba że w sposób jednoznaczny prowadzą do uznania długu przez dłużnika (co w tej sprawie nie miało miejsca). Służą one jednak wykazaniu chęci ugodowego rozwiązania sporu i są często wymagane przed skierowaniem sprawy na drogę sądową.</w:t>
      </w:r>
      <w:r>
        <w:t xml:space="preserve"> </w:t>
      </w:r>
      <w:r>
        <w:t xml:space="preserve">*</w:t>
      </w:r>
      <w:r>
        <w:t xml:space="preserve"> </w:t>
      </w:r>
      <w:r>
        <w:rPr>
          <w:b/>
          <w:bCs/>
        </w:rPr>
        <w:t xml:space="preserve">Wniosek:</w:t>
      </w:r>
      <w:r>
        <w:t xml:space="preserve"> </w:t>
      </w:r>
      <w:r>
        <w:t xml:space="preserve">Roszczenia Najemcy nie są przedawnione. Termin 3-letni biegnie odpowiednio od daty powstania szkody (15.03.2025 r.) oraz od daty wymagalności zwrotu kaucji (tj. 30 dni po faktycznym opróżnieniu lokalu).</w:t>
      </w:r>
    </w:p>
    <w:p>
      <w:pPr>
        <w:pStyle w:val="BodyText"/>
      </w:pPr>
      <w:r>
        <w:rPr>
          <w:b/>
          <w:bCs/>
        </w:rPr>
        <w:t xml:space="preserve">5. Kwestie dowodowe: wskazać, jakie dowody należy zgromadzić w celu udowodnienia, że zalanie nastąpiło z przyczyny leżącej po stronie Wynajmującego (np. protokoły awarii zarządu budynku, ekspertyzy instalacji, opinia biegłego sanitarnego/hydraulika, dokumentacja fotograficzna, faktury na zakup napraw). Wskazać, w jakim zakresie brak podpisu Wynajmującego pod protokołem odbioru prac adaptacyjnych wpływa na ich kwalifikację jako nakłady zaakceptowane przez Wynajmującego.</w:t>
      </w:r>
      <w:r>
        <w:t xml:space="preserve"> </w:t>
      </w:r>
      <w:r>
        <w:t xml:space="preserve">*</w:t>
      </w:r>
      <w:r>
        <w:t xml:space="preserve"> </w:t>
      </w:r>
      <w:r>
        <w:rPr>
          <w:b/>
          <w:bCs/>
        </w:rPr>
        <w:t xml:space="preserve">Dowody w celu udowodnienia przyczyny zalania leżącej po stronie Wynajmującego:</w:t>
      </w:r>
      <w:r>
        <w:t xml:space="preserve"> </w:t>
      </w:r>
      <w:r>
        <w:t xml:space="preserve">*</w:t>
      </w:r>
      <w:r>
        <w:t xml:space="preserve"> </w:t>
      </w:r>
      <w:r>
        <w:rPr>
          <w:b/>
          <w:bCs/>
        </w:rPr>
        <w:t xml:space="preserve">Protokół awarii:</w:t>
      </w:r>
      <w:r>
        <w:t xml:space="preserve"> </w:t>
      </w:r>
      <w:r>
        <w:t xml:space="preserve">Należy uzyskać wszelkie protokoły awarii sporządzone przez zarządcę budynku, wspólnotę mieszkaniową, lub służby techniczne (np. Pogotowie Wodociągowo-Kanalizacyjne). Dokumenty te powinny precyzyjnie określać miejsce i przyczynę awarii instalacji kanalizacyjnej [Źródło 1].</w:t>
      </w:r>
      <w:r>
        <w:t xml:space="preserve"> </w:t>
      </w:r>
      <w:r>
        <w:t xml:space="preserve">*</w:t>
      </w:r>
      <w:r>
        <w:t xml:space="preserve"> </w:t>
      </w:r>
      <w:r>
        <w:rPr>
          <w:b/>
          <w:bCs/>
        </w:rPr>
        <w:t xml:space="preserve">Ekspertyzy instalacji:</w:t>
      </w:r>
      <w:r>
        <w:t xml:space="preserve"> </w:t>
      </w:r>
      <w:r>
        <w:t xml:space="preserve">Niezbędna będzie opinia techniczna (ekspertyza) wykonana przez niezależnego specjalistę (biegłego sanitarnego/hydraulika), która określi stan instalacji, przyczynę awarii oraz wskaże, czy była ona wynikiem wady technicznej, zużycia materiału, czy niewłaściwej eksploatacji [Źródło 2].</w:t>
      </w:r>
      <w:r>
        <w:t xml:space="preserve"> </w:t>
      </w:r>
      <w:r>
        <w:t xml:space="preserve">*</w:t>
      </w:r>
      <w:r>
        <w:t xml:space="preserve"> </w:t>
      </w:r>
      <w:r>
        <w:rPr>
          <w:b/>
          <w:bCs/>
        </w:rPr>
        <w:t xml:space="preserve">Dokumentacja fotograficzna/wideo:</w:t>
      </w:r>
      <w:r>
        <w:t xml:space="preserve"> </w:t>
      </w:r>
      <w:r>
        <w:t xml:space="preserve">Zdjęcia i filmy dokumentujące miejsce awarii, jej skutki, a także stan instalacji przed i po naprawie.</w:t>
      </w:r>
      <w:r>
        <w:t xml:space="preserve"> </w:t>
      </w:r>
      <w:r>
        <w:t xml:space="preserve">*</w:t>
      </w:r>
      <w:r>
        <w:t xml:space="preserve"> </w:t>
      </w:r>
      <w:r>
        <w:rPr>
          <w:b/>
          <w:bCs/>
        </w:rPr>
        <w:t xml:space="preserve">Zeznania świadków:</w:t>
      </w:r>
      <w:r>
        <w:t xml:space="preserve"> </w:t>
      </w:r>
      <w:r>
        <w:t xml:space="preserve">Zeznania osób, które były obecne przy awarii lub brały udział w usuwaniu jej skutków (np. inni najemcy, pracownicy, sąsiedzi, przedstawiciele zarządcy).</w:t>
      </w:r>
      <w:r>
        <w:t xml:space="preserve"> </w:t>
      </w:r>
      <w:r>
        <w:t xml:space="preserve">*</w:t>
      </w:r>
      <w:r>
        <w:t xml:space="preserve"> </w:t>
      </w:r>
      <w:r>
        <w:rPr>
          <w:b/>
          <w:bCs/>
        </w:rPr>
        <w:t xml:space="preserve">Korespondencja:</w:t>
      </w:r>
      <w:r>
        <w:t xml:space="preserve"> </w:t>
      </w:r>
      <w:r>
        <w:t xml:space="preserve">Wszelka korespondencja z Wynajmującym lub zarządcą budynku dotycząca stanu instalacji, zgłaszanych wcześniej usterek, czy podjętych działań naprawczych.</w:t>
      </w:r>
      <w:r>
        <w:t xml:space="preserve"> </w:t>
      </w:r>
      <w:r>
        <w:t xml:space="preserve">*</w:t>
      </w:r>
      <w:r>
        <w:t xml:space="preserve"> </w:t>
      </w:r>
      <w:r>
        <w:rPr>
          <w:b/>
          <w:bCs/>
        </w:rPr>
        <w:t xml:space="preserve">Faktury i dokumentacja napraw:</w:t>
      </w:r>
      <w:r>
        <w:t xml:space="preserve"> </w:t>
      </w:r>
      <w:r>
        <w:t xml:space="preserve">Faktury za naprawy instalacji pionowych, jeśli Wynajmujący lub zarządca je przeprowadzał, mogą potwierdzać charakter awarii.</w:t>
      </w:r>
      <w:r>
        <w:t xml:space="preserve"> </w:t>
      </w:r>
      <w:r>
        <w:t xml:space="preserve">*</w:t>
      </w:r>
      <w:r>
        <w:t xml:space="preserve"> </w:t>
      </w:r>
      <w:r>
        <w:rPr>
          <w:b/>
          <w:bCs/>
        </w:rPr>
        <w:t xml:space="preserve">Brak podpisu Wynajmującego pod protokołem odbioru prac adaptacyjnych:</w:t>
      </w:r>
      <w:r>
        <w:t xml:space="preserve"> </w:t>
      </w:r>
      <w:r>
        <w:t xml:space="preserve">* Najemca otrzymał zgodę na adaptację kuchni (koszt 28 500 zł brutto) [Źródło 1]. Brak podpisu Wynajmującego pod protokołem odbioru prac adaptacyjnych (§7 ust.2) utrudnia udowodnienie formalnego odbioru i akceptacji wszystkich prac [Źródło 1]. Jednakże sama „zgoda” na adaptację jest kluczowa. Zgoda taka, nawet bez późniejszego formalnego odbioru, może wskazywać na akceptację przez Wynajmującego samego faktu dokonania nakładów.</w:t>
      </w:r>
      <w:r>
        <w:t xml:space="preserve"> </w:t>
      </w:r>
      <w:r>
        <w:t xml:space="preserve">* W kontekście art. 676 k.c. (brak w dostępnym stanie prawnym), dotyczącego nakładów na rzecz najętą, ważne jest, czy Wynajmujący wiedział o wykonywanych pracach i się im nie sprzeciwiał, mimo braku formalnego odbioru. Możliwe jest dowodzenie akceptacji nakładów poprzez inne środki dowodowe, takie jak korespondencja, zeznania świadków, czy fakt, że prace adaptacyjne są widoczne i Wynajmujący nie wnosił sprzeciwu przez długi czas po ich wykonaniu. Brak podpisu nie przesądza o braku akceptacji w ogóle, ale wymaga zgromadzenia innych dowodów na tę okoliczność.</w:t>
      </w:r>
      <w:r>
        <w:t xml:space="preserve"> </w:t>
      </w:r>
      <w:r>
        <w:t xml:space="preserve">* Jeżeli nakłady były konieczne do prowadzenia działalności (np. zgodnie z przeznaczeniem lokalu) lub zwiększyły wartość lokalu, Najemca może dochodzić ich zwrotu nawet bez formalnego protokołu odbioru, jeśli może udowodnić faktyczne dokonanie nakładów i ich wartość.</w:t>
      </w:r>
      <w:r>
        <w:t xml:space="preserve"> </w:t>
      </w:r>
      <w:r>
        <w:t xml:space="preserve">*</w:t>
      </w:r>
      <w:r>
        <w:t xml:space="preserve"> </w:t>
      </w:r>
      <w:r>
        <w:rPr>
          <w:b/>
          <w:bCs/>
        </w:rPr>
        <w:t xml:space="preserve">Wniosek:</w:t>
      </w:r>
      <w:r>
        <w:t xml:space="preserve"> </w:t>
      </w:r>
      <w:r>
        <w:t xml:space="preserve">Konieczne jest aktywne zbieranie dowodów na poparcie tezy o odpowiedzialności Wynajmującego za awarię. Brak formalnego protokołu odbioru prac adaptacyjnych nie przekreśla roszczeń o zwrot nakładów, ale wymaga alternatywnego udowodnienia ich akceptacji lub charakteru.</w:t>
      </w:r>
    </w:p>
    <w:p>
      <w:pPr>
        <w:pStyle w:val="BodyText"/>
      </w:pPr>
      <w:r>
        <w:rPr>
          <w:b/>
          <w:bCs/>
        </w:rPr>
        <w:t xml:space="preserve">6. Wyliczenie kwotowe roszczenia Najemcy (szczegółowy rachunek): sporządzić preliminarz roszczeń Najemcy na dzień 31.05.2025 r., obejmujący zwrot potrąconej kaucji, koszty naprawy i wymiany wyposażenia (dokumenty: faktura VAT nr FV/████/███ za sprzęt ██ ███ zł brutto; faktury za roboty remontowe ██ ███ zł brutto; straty z tytułu utraconych przychodów/utraty zysków – analiza możliwości dochodzenia i podstawa prawna) oraz odsetki ustawowe i ewentualne koszty procesu.</w:t>
      </w:r>
    </w:p>
    <w:bookmarkEnd w:id="15"/>
    <w:bookmarkStart w:id="16" w:name="wyliczenie-roszczeń"/>
    <w:p>
      <w:pPr>
        <w:pStyle w:val="Heading3"/>
      </w:pPr>
      <w:r>
        <w:t xml:space="preserve">Wyliczenie roszczeń</w:t>
      </w:r>
    </w:p>
    <w:p>
      <w:pPr>
        <w:pStyle w:val="FirstParagraph"/>
      </w:pPr>
      <w:r>
        <w:rPr>
          <w:b/>
          <w:bCs/>
        </w:rPr>
        <w:t xml:space="preserve">A. Zwrot potrąconej kaucji:</w:t>
      </w:r>
      <w:r>
        <w:t xml:space="preserve"> </w:t>
      </w:r>
      <w:r>
        <w:t xml:space="preserve">* Kwota potrąconej kaucji: 36 000 zł [Źródło 1].</w:t>
      </w:r>
      <w:r>
        <w:t xml:space="preserve"> </w:t>
      </w:r>
      <w:r>
        <w:t xml:space="preserve">* Podstawa prawna: Nieskuteczność jednostronnego potrącenia Wynajmującego bez wykazania istnienia i wysokości wierzytelności.</w:t>
      </w:r>
      <w:r>
        <w:t xml:space="preserve"> </w:t>
      </w:r>
      <w:r>
        <w:t xml:space="preserve">* Odsetki: Odsetki ustawowe za opóźnienie od dnia wezwania Wynajmującego do zwrotu kaucji (lub od dnia potrącenia, tj. 10.05.2025 r., jeśli zostanie to uznane za moment wymagalności roszczenia o zwrot).</w:t>
      </w:r>
    </w:p>
    <w:p>
      <w:pPr>
        <w:pStyle w:val="BodyText"/>
      </w:pPr>
      <w:r>
        <w:rPr>
          <w:b/>
          <w:bCs/>
        </w:rPr>
        <w:t xml:space="preserve">B. Odszkodowanie za straty w wyposażeniu i koszty napraw (szkoda rzeczywista -</w:t>
      </w:r>
      <w:r>
        <w:rPr>
          <w:b/>
          <w:bCs/>
        </w:rPr>
        <w:t xml:space="preserve"> </w:t>
      </w:r>
      <w:r>
        <w:rPr>
          <w:b/>
          <w:bCs/>
          <w:i/>
          <w:iCs/>
        </w:rPr>
        <w:t xml:space="preserve">damnum emergens</w:t>
      </w:r>
      <w:r>
        <w:rPr>
          <w:b/>
          <w:bCs/>
        </w:rPr>
        <w:t xml:space="preserve">):</w:t>
      </w:r>
      <w:r>
        <w:t xml:space="preserve"> </w:t>
      </w:r>
      <w:r>
        <w:t xml:space="preserve">*</w:t>
      </w:r>
      <w:r>
        <w:t xml:space="preserve"> </w:t>
      </w:r>
      <w:r>
        <w:rPr>
          <w:b/>
          <w:bCs/>
        </w:rPr>
        <w:t xml:space="preserve">Faktura VAT nr FV/████/███ za sprzęt:</w:t>
      </w:r>
      <w:r>
        <w:t xml:space="preserve"> </w:t>
      </w:r>
      <w:r>
        <w:t xml:space="preserve">██ ███ zł brutto [Źródło 2].</w:t>
      </w:r>
      <w:r>
        <w:t xml:space="preserve"> </w:t>
      </w:r>
      <w:r>
        <w:t xml:space="preserve">*</w:t>
      </w:r>
      <w:r>
        <w:t xml:space="preserve"> </w:t>
      </w:r>
      <w:r>
        <w:rPr>
          <w:b/>
          <w:bCs/>
        </w:rPr>
        <w:t xml:space="preserve">Faktury za roboty remontowe:</w:t>
      </w:r>
      <w:r>
        <w:t xml:space="preserve"> </w:t>
      </w:r>
      <w:r>
        <w:t xml:space="preserve">██ ███ zł brutto [Źródło 2].</w:t>
      </w:r>
      <w:r>
        <w:t xml:space="preserve"> </w:t>
      </w:r>
      <w:r>
        <w:t xml:space="preserve">*</w:t>
      </w:r>
      <w:r>
        <w:t xml:space="preserve"> </w:t>
      </w:r>
      <w:r>
        <w:rPr>
          <w:b/>
          <w:bCs/>
        </w:rPr>
        <w:t xml:space="preserve">Łączna kwota szkody rzeczywistej:</w:t>
      </w:r>
      <w:r>
        <w:t xml:space="preserve"> </w:t>
      </w:r>
      <w:r>
        <w:t xml:space="preserve">██ ███ zł + ██ ███ zł = 31 200 zł brutto.</w:t>
      </w:r>
      <w:r>
        <w:t xml:space="preserve"> </w:t>
      </w:r>
      <w:r>
        <w:t xml:space="preserve">* Podstawa prawna: Art. 471 k.c. (brak w dostępnym stanie prawnym) lub art. 415 k.c. (brak w dostępnym stanie prawnym) w związku z odpowiedzialnością Wynajmującego za stan instalacji i brak należytego utrzymania lokalu/części wspólnych.</w:t>
      </w:r>
      <w:r>
        <w:t xml:space="preserve"> </w:t>
      </w:r>
      <w:r>
        <w:t xml:space="preserve">* Odsetki: Odsetki ustawowe za opóźnienie od dnia wezwania Wynajmującego do zapłaty (lub od daty poniesienia szkody, tj. od dat wystawienia faktur).</w:t>
      </w:r>
    </w:p>
    <w:p>
      <w:pPr>
        <w:pStyle w:val="BodyText"/>
      </w:pPr>
      <w:r>
        <w:rPr>
          <w:b/>
          <w:bCs/>
        </w:rPr>
        <w:t xml:space="preserve">C. Straty z tytułu utraconych przychodów/utraty zysków (</w:t>
      </w:r>
      <w:r>
        <w:rPr>
          <w:b/>
          <w:bCs/>
          <w:i/>
          <w:iCs/>
        </w:rPr>
        <w:t xml:space="preserve">lucrum cessans</w:t>
      </w:r>
      <w:r>
        <w:rPr>
          <w:b/>
          <w:bCs/>
        </w:rPr>
        <w:t xml:space="preserve">):</w:t>
      </w:r>
      <w:r>
        <w:t xml:space="preserve"> </w:t>
      </w:r>
      <w:r>
        <w:t xml:space="preserve">*</w:t>
      </w:r>
      <w:r>
        <w:t xml:space="preserve"> </w:t>
      </w:r>
      <w:r>
        <w:rPr>
          <w:b/>
          <w:bCs/>
        </w:rPr>
        <w:t xml:space="preserve">Analiza możliwości dochodzenia:</w:t>
      </w:r>
      <w:r>
        <w:t xml:space="preserve"> </w:t>
      </w:r>
      <w:r>
        <w:t xml:space="preserve">Utracone korzyści są elementem szkody i mogą być dochodzone, jeśli Najemca wykaże, że na skutek zalania i związanych z nim perturbacji (np. zamknięcia kawiarni, ograniczenia działalności) faktycznie nie osiągnął zysków, które by osiągnął, gdyby szkoda nie powstała. Konieczne jest wykazanie związku przyczynowego między zalaniem a utratą zysków oraz uprawdopodobnienie wysokości utraconych przychodów.</w:t>
      </w:r>
      <w:r>
        <w:t xml:space="preserve"> </w:t>
      </w:r>
      <w:r>
        <w:t xml:space="preserve">*</w:t>
      </w:r>
      <w:r>
        <w:t xml:space="preserve"> </w:t>
      </w:r>
      <w:r>
        <w:rPr>
          <w:b/>
          <w:bCs/>
        </w:rPr>
        <w:t xml:space="preserve">Sposób obliczenia:</w:t>
      </w:r>
      <w:r>
        <w:t xml:space="preserve"> </w:t>
      </w:r>
      <w:r>
        <w:t xml:space="preserve">Do obliczenia utraconych korzyści należy wykorzystać dane księgowe Najemcy z poprzednich okresów porównywalnych (np. średnie dzienne/miesięczne przychody i zyski sprzed okresu zalania), a następnie oszacować spadek tych wartości w okresie bezpośrednio po zalaniu i przez czas trwania remontów/ograniczeń działalności. Należy uwzględnić:</w:t>
      </w:r>
      <w:r>
        <w:t xml:space="preserve"> </w:t>
      </w:r>
      <w:r>
        <w:t xml:space="preserve">* Dzienne/miesięczne utargi przed zalaniem.</w:t>
      </w:r>
      <w:r>
        <w:t xml:space="preserve"> </w:t>
      </w:r>
      <w:r>
        <w:t xml:space="preserve">* Okres, w którym działalność była niemożliwa lub znacznie ograniczona.</w:t>
      </w:r>
      <w:r>
        <w:t xml:space="preserve"> </w:t>
      </w:r>
      <w:r>
        <w:t xml:space="preserve">* Marża zysku na sprzedawanych produktach.</w:t>
      </w:r>
      <w:r>
        <w:t xml:space="preserve"> </w:t>
      </w:r>
      <w:r>
        <w:t xml:space="preserve">* Stałe koszty, które Najemca musiał ponosić pomimo braku przychodów.</w:t>
      </w:r>
      <w:r>
        <w:t xml:space="preserve"> </w:t>
      </w:r>
      <w:r>
        <w:t xml:space="preserve">*</w:t>
      </w:r>
      <w:r>
        <w:t xml:space="preserve"> </w:t>
      </w:r>
      <w:r>
        <w:rPr>
          <w:b/>
          <w:bCs/>
        </w:rPr>
        <w:t xml:space="preserve">Podstawa prawna:</w:t>
      </w:r>
      <w:r>
        <w:t xml:space="preserve"> </w:t>
      </w:r>
      <w:r>
        <w:t xml:space="preserve">Art. 361 § 2 k.c. (brak w dostępnym stanie prawnym) stanowiący, że naprawienie szkody obejmuje straty, które poszkodowany poniósł, oraz korzyści, które mógłby osiągnąć, gdyby mu szkody nie wyrządzono.</w:t>
      </w:r>
      <w:r>
        <w:t xml:space="preserve"> </w:t>
      </w:r>
      <w:r>
        <w:t xml:space="preserve">*</w:t>
      </w:r>
      <w:r>
        <w:t xml:space="preserve"> </w:t>
      </w:r>
      <w:r>
        <w:rPr>
          <w:b/>
          <w:bCs/>
        </w:rPr>
        <w:t xml:space="preserve">Kwota:</w:t>
      </w:r>
      <w:r>
        <w:t xml:space="preserve"> </w:t>
      </w:r>
      <w:r>
        <w:t xml:space="preserve">Wymaga szczegółowego udokumentowania księgowego. Na dzień 31.05.2025 r. należy zebrać wszystkie dane finansowe dotyczące okresu od zalania do tej daty.</w:t>
      </w:r>
    </w:p>
    <w:p>
      <w:pPr>
        <w:pStyle w:val="BodyText"/>
      </w:pPr>
      <w:r>
        <w:rPr>
          <w:b/>
          <w:bCs/>
        </w:rPr>
        <w:t xml:space="preserve">D. Odsetki ustawowe za opóźnienie:</w:t>
      </w:r>
      <w:r>
        <w:t xml:space="preserve"> </w:t>
      </w:r>
      <w:r>
        <w:t xml:space="preserve">* Należne od kwot roszczeń (zwrot kaucji, odszkodowanie) od dnia wymagalności. Dzień wymagalności dla kaucji to 30 dni od opróżnienia lokalu, dla odszkodowania - daty poniesienia szkody (np. wystawienia faktur) lub daty wezwania do zapłaty. Dla utraconych korzyści - od daty powstania każdej z rat utraconego zysku.</w:t>
      </w:r>
    </w:p>
    <w:p>
      <w:pPr>
        <w:pStyle w:val="BodyText"/>
      </w:pPr>
      <w:r>
        <w:rPr>
          <w:b/>
          <w:bCs/>
        </w:rPr>
        <w:t xml:space="preserve">E. Koszty procesu:</w:t>
      </w:r>
      <w:r>
        <w:t xml:space="preserve"> </w:t>
      </w:r>
      <w:r>
        <w:t xml:space="preserve">* Obejmują m.in. opłatę sądową od pozwu, koszty zastępstwa procesowego (wynagrodzenie pełnomocnika), koszty opinii biegłych sądowych, koszty stawiennictwa świadków. Wysokość kosztów zastępstwa procesowego jest regulowana przepisami rozporządzeń Ministra Sprawiedliwości.</w:t>
      </w:r>
    </w:p>
    <w:p>
      <w:pPr>
        <w:pStyle w:val="BodyText"/>
      </w:pPr>
      <w:r>
        <w:rPr>
          <w:b/>
          <w:bCs/>
        </w:rPr>
        <w:t xml:space="preserve">Preliminarz roszczeń Najemcy na dzień 31.05.2025 r.:</w:t>
      </w:r>
      <w:r>
        <w:t xml:space="preserve"> </w:t>
      </w:r>
      <w:r>
        <w:t xml:space="preserve">1. Zwrot potrąconej kaucji:</w:t>
      </w:r>
      <w:r>
        <w:t xml:space="preserve"> </w:t>
      </w:r>
      <w:r>
        <w:rPr>
          <w:b/>
          <w:bCs/>
        </w:rPr>
        <w:t xml:space="preserve">36 000 zł.</w:t>
      </w:r>
      <w:r>
        <w:t xml:space="preserve"> </w:t>
      </w:r>
      <w:r>
        <w:t xml:space="preserve">2. Odszkodowanie za sprzęt (faktura VAT nr FV/████/███):</w:t>
      </w:r>
      <w:r>
        <w:t xml:space="preserve"> </w:t>
      </w:r>
      <w:r>
        <w:rPr>
          <w:b/>
          <w:bCs/>
        </w:rPr>
        <w:t xml:space="preserve">██ ███ zł.</w:t>
      </w:r>
      <w:r>
        <w:t xml:space="preserve"> </w:t>
      </w:r>
      <w:r>
        <w:t xml:space="preserve">3. Odszkodowanie za roboty remontowe (faktury):</w:t>
      </w:r>
      <w:r>
        <w:t xml:space="preserve"> </w:t>
      </w:r>
      <w:r>
        <w:rPr>
          <w:b/>
          <w:bCs/>
        </w:rPr>
        <w:t xml:space="preserve">██ ███ zł.</w:t>
      </w:r>
      <w:r>
        <w:t xml:space="preserve"> </w:t>
      </w:r>
      <w:r>
        <w:t xml:space="preserve">4. Straty z tytułu utraconych przychodów/zysków:</w:t>
      </w:r>
      <w:r>
        <w:t xml:space="preserve"> </w:t>
      </w:r>
      <w:r>
        <w:rPr>
          <w:b/>
          <w:bCs/>
        </w:rPr>
        <w:t xml:space="preserve">do ustalenia na podstawie ksiąg rachunkowych.</w:t>
      </w:r>
      <w:r>
        <w:t xml:space="preserve"> </w:t>
      </w:r>
      <w:r>
        <w:t xml:space="preserve">5. Odsetki ustawowe za opóźnienie od ww. kwot.</w:t>
      </w:r>
      <w:r>
        <w:t xml:space="preserve"> </w:t>
      </w:r>
      <w:r>
        <w:t xml:space="preserve">6. Koszty procesu.</w:t>
      </w:r>
    </w:p>
    <w:bookmarkEnd w:id="16"/>
    <w:bookmarkEnd w:id="17"/>
    <w:bookmarkStart w:id="18" w:name="rejestr-ryzyk-i-szans"/>
    <w:p>
      <w:pPr>
        <w:pStyle w:val="Heading2"/>
      </w:pPr>
      <w:r>
        <w:t xml:space="preserve">Rejestr ryzyk i szans</w:t>
      </w:r>
    </w:p>
    <w:p>
      <w:pPr>
        <w:pStyle w:val="FirstParagraph"/>
      </w:pPr>
      <w:r>
        <w:rPr>
          <w:b/>
          <w:bCs/>
        </w:rPr>
        <w:t xml:space="preserve">Mocne strony sprawy Najemcy (szanse):</w:t>
      </w:r>
      <w:r>
        <w:t xml:space="preserve"> </w:t>
      </w:r>
      <w:r>
        <w:t xml:space="preserve">1.</w:t>
      </w:r>
      <w:r>
        <w:t xml:space="preserve"> </w:t>
      </w:r>
      <w:r>
        <w:rPr>
          <w:b/>
          <w:bCs/>
        </w:rPr>
        <w:t xml:space="preserve">Brak udowodnienia szkody przez Wynajmującego:</w:t>
      </w:r>
      <w:r>
        <w:t xml:space="preserve"> </w:t>
      </w:r>
      <w:r>
        <w:t xml:space="preserve">Jednostronne potrącenie kaucji bez przedstawienia faktur i wiarygodnego wykazania szkody przez Wynajmującego jest poważnym uchybieniem i prawdopodobnie nieskuteczne [Źródło 1, Źródło 5, Źródło 12, Źródło 13, Źródło 14, Źródło 15].</w:t>
      </w:r>
      <w:r>
        <w:t xml:space="preserve"> </w:t>
      </w:r>
      <w:r>
        <w:t xml:space="preserve">2.</w:t>
      </w:r>
      <w:r>
        <w:t xml:space="preserve"> </w:t>
      </w:r>
      <w:r>
        <w:rPr>
          <w:b/>
          <w:bCs/>
        </w:rPr>
        <w:t xml:space="preserve">Prawdopodobna odpowiedzialność Wynajmującego za instalacje pionowe:</w:t>
      </w:r>
      <w:r>
        <w:t xml:space="preserve"> </w:t>
      </w:r>
      <w:r>
        <w:t xml:space="preserve">Instalacje kanalizacyjne pionowe są zazwyczaj częścią wspólną budynku, za której stan odpowiada właściciel nieruchomości lub zarządca/wspólnota [Źródło 1, Źródło 10].</w:t>
      </w:r>
      <w:r>
        <w:t xml:space="preserve"> </w:t>
      </w:r>
      <w:r>
        <w:t xml:space="preserve">3.</w:t>
      </w:r>
      <w:r>
        <w:t xml:space="preserve"> </w:t>
      </w:r>
      <w:r>
        <w:rPr>
          <w:b/>
          <w:bCs/>
        </w:rPr>
        <w:t xml:space="preserve">Brak podstaw umownych do żądania uzupełnienia kaucji:</w:t>
      </w:r>
      <w:r>
        <w:t xml:space="preserve"> </w:t>
      </w:r>
      <w:r>
        <w:t xml:space="preserve">Umowa nie przewidywała mechanizmu zmiany wysokości kaucji [Źródło 1]. Żądanie uzupełnienia jest bezpodstawne.</w:t>
      </w:r>
      <w:r>
        <w:t xml:space="preserve"> </w:t>
      </w:r>
      <w:r>
        <w:t xml:space="preserve">4.</w:t>
      </w:r>
      <w:r>
        <w:t xml:space="preserve"> </w:t>
      </w:r>
      <w:r>
        <w:rPr>
          <w:b/>
          <w:bCs/>
        </w:rPr>
        <w:t xml:space="preserve">Zgoda na nakłady adaptacyjne:</w:t>
      </w:r>
      <w:r>
        <w:t xml:space="preserve"> </w:t>
      </w:r>
      <w:r>
        <w:t xml:space="preserve">Fakt uzyskania zgody na adaptację kuchni daje podstawę do dochodzenia zwrotu nakładów, nawet jeśli protokół odbioru nie został podpisany [Źródło 1].</w:t>
      </w:r>
      <w:r>
        <w:t xml:space="preserve"> </w:t>
      </w:r>
      <w:r>
        <w:t xml:space="preserve">5.</w:t>
      </w:r>
      <w:r>
        <w:t xml:space="preserve"> </w:t>
      </w:r>
      <w:r>
        <w:rPr>
          <w:b/>
          <w:bCs/>
        </w:rPr>
        <w:t xml:space="preserve">Dokumentacja szkód:</w:t>
      </w:r>
      <w:r>
        <w:t xml:space="preserve"> </w:t>
      </w:r>
      <w:r>
        <w:t xml:space="preserve">Najemca posiada faktury za sprzęt i roboty remontowe [Źródło 2], co ułatwia wykazanie wysokości szkody rzeczywistej.</w:t>
      </w:r>
    </w:p>
    <w:p>
      <w:pPr>
        <w:pStyle w:val="BodyText"/>
      </w:pPr>
      <w:r>
        <w:rPr>
          <w:b/>
          <w:bCs/>
        </w:rPr>
        <w:t xml:space="preserve">Słabe strony sprawy Najemcy (ryzyka):</w:t>
      </w:r>
      <w:r>
        <w:t xml:space="preserve"> </w:t>
      </w:r>
      <w:r>
        <w:t xml:space="preserve">1.</w:t>
      </w:r>
      <w:r>
        <w:t xml:space="preserve"> </w:t>
      </w:r>
      <w:r>
        <w:rPr>
          <w:b/>
          <w:bCs/>
        </w:rPr>
        <w:t xml:space="preserve">Brak podpisanego protokołu odbioru prac adaptacyjnych:</w:t>
      </w:r>
      <w:r>
        <w:t xml:space="preserve"> </w:t>
      </w:r>
      <w:r>
        <w:t xml:space="preserve">Może utrudnić bezspornie udowodnienie zakresu i wartości zaakceptowanych nakładów [Źródło 1].</w:t>
      </w:r>
      <w:r>
        <w:t xml:space="preserve"> </w:t>
      </w:r>
      <w:r>
        <w:t xml:space="preserve">2.</w:t>
      </w:r>
      <w:r>
        <w:t xml:space="preserve"> </w:t>
      </w:r>
      <w:r>
        <w:rPr>
          <w:b/>
          <w:bCs/>
        </w:rPr>
        <w:t xml:space="preserve">Konieczność udowodnienia przyczyny zalania:</w:t>
      </w:r>
      <w:r>
        <w:t xml:space="preserve"> </w:t>
      </w:r>
      <w:r>
        <w:t xml:space="preserve">Najemca będzie musiał aktywnie udowodnić, że awaria instalacji była spowodowana wadą leżącą po stronie Wynajmującego, co może wymagać kosztownych opinii biegłych.</w:t>
      </w:r>
      <w:r>
        <w:t xml:space="preserve"> </w:t>
      </w:r>
      <w:r>
        <w:t xml:space="preserve">3.</w:t>
      </w:r>
      <w:r>
        <w:t xml:space="preserve"> </w:t>
      </w:r>
      <w:r>
        <w:rPr>
          <w:b/>
          <w:bCs/>
        </w:rPr>
        <w:t xml:space="preserve">Kwestia utraconych korzyści:</w:t>
      </w:r>
      <w:r>
        <w:t xml:space="preserve"> </w:t>
      </w:r>
      <w:r>
        <w:t xml:space="preserve">Udowodnienie wysokości utraconych zysków bywa trudne i wymaga szczegółowej dokumentacji księgowej oraz precyzyjnego wykazania związku przyczynowego.</w:t>
      </w:r>
      <w:r>
        <w:t xml:space="preserve"> </w:t>
      </w:r>
      <w:r>
        <w:t xml:space="preserve">4.</w:t>
      </w:r>
      <w:r>
        <w:t xml:space="preserve"> </w:t>
      </w:r>
      <w:r>
        <w:rPr>
          <w:b/>
          <w:bCs/>
        </w:rPr>
        <w:t xml:space="preserve">Wypowiedzenie umowy najmu:</w:t>
      </w:r>
      <w:r>
        <w:t xml:space="preserve"> </w:t>
      </w:r>
      <w:r>
        <w:t xml:space="preserve">Jeśli Wynajmujący udowodni rażące naruszenia umowy przez Najemcę (inne niż te związane z kaucją i zalaniem), wypowiedzenie może okazać się skuteczne, co spowoduje konieczność opuszczenia lokalu.</w:t>
      </w:r>
      <w:r>
        <w:t xml:space="preserve"> </w:t>
      </w:r>
      <w:r>
        <w:t xml:space="preserve">5.</w:t>
      </w:r>
      <w:r>
        <w:t xml:space="preserve"> </w:t>
      </w:r>
      <w:r>
        <w:rPr>
          <w:b/>
          <w:bCs/>
        </w:rPr>
        <w:t xml:space="preserve">Ryzyko procesowe:</w:t>
      </w:r>
      <w:r>
        <w:t xml:space="preserve"> </w:t>
      </w:r>
      <w:r>
        <w:t xml:space="preserve">Proces sądowy zawsze wiąże się z ryzykiem niekorzystnego rozstrzygnięcia, kosztami i długim czasem trwania.</w:t>
      </w:r>
    </w:p>
    <w:p>
      <w:pPr>
        <w:pStyle w:val="BodyText"/>
      </w:pPr>
      <w:r>
        <w:rPr>
          <w:b/>
          <w:bCs/>
        </w:rPr>
        <w:t xml:space="preserve">Kontrargumenty strony przeciwnej (Wynajmującego):</w:t>
      </w:r>
      <w:r>
        <w:t xml:space="preserve"> </w:t>
      </w:r>
      <w:r>
        <w:t xml:space="preserve">1.</w:t>
      </w:r>
      <w:r>
        <w:t xml:space="preserve"> </w:t>
      </w:r>
      <w:r>
        <w:rPr>
          <w:b/>
          <w:bCs/>
        </w:rPr>
        <w:t xml:space="preserve">Niewłaściwa eksploatacja przez Najemcę:</w:t>
      </w:r>
      <w:r>
        <w:t xml:space="preserve"> </w:t>
      </w:r>
      <w:r>
        <w:t xml:space="preserve">Wynajmujący będzie twierdził, że zalanie było wynikiem niewłaściwej eksploatacji instalacji przez Najemcę (§10 ust.1 umowy) [Źródło 1].</w:t>
      </w:r>
      <w:r>
        <w:t xml:space="preserve"> </w:t>
      </w:r>
      <w:r>
        <w:t xml:space="preserve">2.</w:t>
      </w:r>
      <w:r>
        <w:t xml:space="preserve"> </w:t>
      </w:r>
      <w:r>
        <w:rPr>
          <w:b/>
          <w:bCs/>
        </w:rPr>
        <w:t xml:space="preserve">Brak formalnego odbioru nakładów:</w:t>
      </w:r>
      <w:r>
        <w:t xml:space="preserve"> </w:t>
      </w:r>
      <w:r>
        <w:t xml:space="preserve">Wynajmujący może powoływać się na brak podpisanego protokołu odbioru prac adaptacyjnych, aby kwestionować obowiązek zwrotu nakładów [Źródło 1].</w:t>
      </w:r>
      <w:r>
        <w:t xml:space="preserve"> </w:t>
      </w:r>
      <w:r>
        <w:t xml:space="preserve">3.</w:t>
      </w:r>
      <w:r>
        <w:t xml:space="preserve"> </w:t>
      </w:r>
      <w:r>
        <w:rPr>
          <w:b/>
          <w:bCs/>
        </w:rPr>
        <w:t xml:space="preserve">Prawo do potrącenia:</w:t>
      </w:r>
      <w:r>
        <w:t xml:space="preserve"> </w:t>
      </w:r>
      <w:r>
        <w:t xml:space="preserve">Wynajmujący może argumentować, że miał prawo do potrącenia kaucji na podstawie §12 ust.3 umowy, a brak faktur wynikał z charakteru rozliczeń lub że dowody zostaną przedstawione w toku procesu [Źródło 1].</w:t>
      </w:r>
      <w:r>
        <w:t xml:space="preserve"> </w:t>
      </w:r>
      <w:r>
        <w:t xml:space="preserve">4.</w:t>
      </w:r>
      <w:r>
        <w:t xml:space="preserve"> </w:t>
      </w:r>
      <w:r>
        <w:rPr>
          <w:b/>
          <w:bCs/>
        </w:rPr>
        <w:t xml:space="preserve">Zasadność wypowiedzenia:</w:t>
      </w:r>
      <w:r>
        <w:t xml:space="preserve"> </w:t>
      </w:r>
      <w:r>
        <w:t xml:space="preserve">Wynajmujący będzie bronił zasadności wypowiedzenia, próbując przypisać Najemcy rażące naruszenia umowy.</w:t>
      </w:r>
    </w:p>
    <w:p>
      <w:pPr>
        <w:pStyle w:val="BodyText"/>
      </w:pPr>
      <w:r>
        <w:rPr>
          <w:b/>
          <w:bCs/>
        </w:rPr>
        <w:t xml:space="preserve">Rekomendowana strategia:</w:t>
      </w:r>
      <w:r>
        <w:t xml:space="preserve"> </w:t>
      </w:r>
      <w:r>
        <w:t xml:space="preserve">*</w:t>
      </w:r>
      <w:r>
        <w:t xml:space="preserve"> </w:t>
      </w:r>
      <w:r>
        <w:rPr>
          <w:b/>
          <w:bCs/>
        </w:rPr>
        <w:t xml:space="preserve">Postępowanie przedsądowe (Negocjacje/Wezwanie do zapłaty):</w:t>
      </w:r>
      <w:r>
        <w:t xml:space="preserve"> </w:t>
      </w:r>
      <w:r>
        <w:t xml:space="preserve">Z uwagi na słabość dowodową Wynajmującego w zakresie potrącenia kaucji i odpowiedzialności za zalanie, rekomendujemy rozpoczęcie od wysłania</w:t>
      </w:r>
      <w:r>
        <w:t xml:space="preserve"> </w:t>
      </w:r>
      <w:r>
        <w:rPr>
          <w:b/>
          <w:bCs/>
        </w:rPr>
        <w:t xml:space="preserve">przedsądowego wezwania do zapłaty i zwrotu kaucji</w:t>
      </w:r>
      <w:r>
        <w:t xml:space="preserve">. Pismo powinno zawierać precyzyjne wyliczenie roszczeń Najemcy (zwrot kaucji, odszkodowanie za sprzęt i remont) oraz wyraźne zakwestionowanie zasadności żądania uzupełnienia kaucji i wypowiedzenia umowy. Należy wezwać Wynajmującego do przedstawienia dowodów poniesionych szkód. Daje to szansę na ugodowe rozwiązanie sporu i uniknięcie kosztów sądowych.</w:t>
      </w:r>
      <w:r>
        <w:t xml:space="preserve"> </w:t>
      </w:r>
      <w:r>
        <w:t xml:space="preserve">*</w:t>
      </w:r>
      <w:r>
        <w:t xml:space="preserve"> </w:t>
      </w:r>
      <w:r>
        <w:rPr>
          <w:b/>
          <w:bCs/>
        </w:rPr>
        <w:t xml:space="preserve">Gromadzenie dowodów:</w:t>
      </w:r>
      <w:r>
        <w:t xml:space="preserve"> </w:t>
      </w:r>
      <w:r>
        <w:t xml:space="preserve">Równolegle z działaniami przedsądowymi, należy bezzwłocznie rozpocząć gromadzenie wszystkich dowodów wskazanych w punkcie 5, w szczególności uzyskać ekspertyzę techniczną instalacji kanalizacyjnej oraz szczegółowe dane księgowe do wyliczenia utraconych korzyści.</w:t>
      </w:r>
      <w:r>
        <w:t xml:space="preserve"> </w:t>
      </w:r>
      <w:r>
        <w:t xml:space="preserve">*</w:t>
      </w:r>
      <w:r>
        <w:t xml:space="preserve"> </w:t>
      </w:r>
      <w:r>
        <w:rPr>
          <w:b/>
          <w:bCs/>
        </w:rPr>
        <w:t xml:space="preserve">Postępowanie sądowe (Sąd):</w:t>
      </w:r>
      <w:r>
        <w:t xml:space="preserve"> </w:t>
      </w:r>
      <w:r>
        <w:t xml:space="preserve">Jeśli postępowanie przedsądowe nie przyniesie rezultatu, konieczne będzie skierowanie sprawy na drogę sądową poprzez wniesienie pozwu o zapłatę. W pozwie należy szczegółowo przedstawić stan faktyczny, wykazać podstawy prawne roszczeń Najemcy, załączyć wszystkie zgromadzone dowody oraz sformułować precyzyjne żądania, w tym co do wysokości odsetek i kosztów procesu. Rozważenie zabezpieczenia powództwa (np. poprzez zakaz rozporządzania przez Wynajmującego częścią nieruchomości lub kwotą odpowiadającą roszczeniom).</w:t>
      </w:r>
    </w:p>
    <w:bookmarkEnd w:id="18"/>
    <w:bookmarkStart w:id="19" w:name="X7cf9fb69d981b6f59c35c30317b4e8d9bb28469"/>
    <w:p>
      <w:pPr>
        <w:pStyle w:val="Heading2"/>
      </w:pPr>
      <w:r>
        <w:t xml:space="preserve">Projekty pism wskazanych w części IV kazusu</w:t>
      </w:r>
    </w:p>
    <w:p>
      <w:pPr>
        <w:pStyle w:val="FirstParagraph"/>
      </w:pPr>
      <w:r>
        <w:rPr>
          <w:b/>
          <w:bCs/>
        </w:rPr>
        <w:t xml:space="preserve">A. Wezwanie do zapłaty i zwrotu kaucji (pismo przedsądowe)</w:t>
      </w:r>
      <w:r>
        <w:t xml:space="preserve"> </w:t>
      </w:r>
      <w:r>
        <w:rPr>
          <w:b/>
          <w:bCs/>
        </w:rPr>
        <w:t xml:space="preserve">B. Pozew o zapłatę (wariant na wypadek braku porozumienia)</w:t>
      </w:r>
    </w:p>
    <w:bookmarkEnd w:id="19"/>
    <w:bookmarkStart w:id="20" w:name="instrukcja-kolejnych-kroków"/>
    <w:p>
      <w:pPr>
        <w:pStyle w:val="Heading2"/>
      </w:pPr>
      <w:r>
        <w:t xml:space="preserve">Instrukcja kolejnych kroków</w:t>
      </w:r>
    </w:p>
    <w:p>
      <w:pPr>
        <w:pStyle w:val="Compact"/>
        <w:numPr>
          <w:ilvl w:val="0"/>
          <w:numId w:val="1002"/>
        </w:numPr>
      </w:pPr>
      <w:r>
        <w:rPr>
          <w:b/>
          <w:bCs/>
        </w:rPr>
        <w:t xml:space="preserve">Analiza umowy najmu:</w:t>
      </w:r>
      <w:r>
        <w:t xml:space="preserve"> </w:t>
      </w:r>
      <w:r>
        <w:t xml:space="preserve">Bezzwłocznie zapoznać się z pełnym tekstem umowy najmu nr UMN/████/███, ze szczególnym uwzględnieniem §5, §7 ust.2, §10 ust.1, §12 ust.3, oraz postanowień dotyczących wypowiedzenia umowy, odpowiedzialności za wady lokalu, rozliczania nakładów i kaucji.</w:t>
      </w:r>
    </w:p>
    <w:p>
      <w:pPr>
        <w:pStyle w:val="Compact"/>
        <w:numPr>
          <w:ilvl w:val="0"/>
          <w:numId w:val="1002"/>
        </w:numPr>
      </w:pPr>
      <w:r>
        <w:rPr>
          <w:b/>
          <w:bCs/>
        </w:rPr>
        <w:t xml:space="preserve">Zabezpieczenie dokumentacji Najemcy:</w:t>
      </w:r>
    </w:p>
    <w:p>
      <w:pPr>
        <w:pStyle w:val="Compact"/>
        <w:numPr>
          <w:ilvl w:val="1"/>
          <w:numId w:val="1003"/>
        </w:numPr>
      </w:pPr>
      <w:r>
        <w:t xml:space="preserve">Faktury VAT nr FV/████/███ za sprzęt (██ ███ zł brutto) [Źródło 2].</w:t>
      </w:r>
    </w:p>
    <w:p>
      <w:pPr>
        <w:pStyle w:val="Compact"/>
        <w:numPr>
          <w:ilvl w:val="1"/>
          <w:numId w:val="1003"/>
        </w:numPr>
      </w:pPr>
      <w:r>
        <w:t xml:space="preserve">Faktury za roboty remontowe (██ ███ zł brutto) [Źródło 2].</w:t>
      </w:r>
    </w:p>
    <w:p>
      <w:pPr>
        <w:pStyle w:val="Compact"/>
        <w:numPr>
          <w:ilvl w:val="1"/>
          <w:numId w:val="1003"/>
        </w:numPr>
      </w:pPr>
      <w:r>
        <w:t xml:space="preserve">Księgi rachunkowe „C. N. sp. z o.o.” w celu oszacowania utraconych przychodów/zysków.</w:t>
      </w:r>
    </w:p>
    <w:p>
      <w:pPr>
        <w:pStyle w:val="Compact"/>
        <w:numPr>
          <w:ilvl w:val="1"/>
          <w:numId w:val="1003"/>
        </w:numPr>
      </w:pPr>
      <w:r>
        <w:t xml:space="preserve">Korespondencja z Wynajmującym dotycząca zgody na adaptację kuchni [Źródło 1].</w:t>
      </w:r>
    </w:p>
    <w:p>
      <w:pPr>
        <w:pStyle w:val="Compact"/>
        <w:numPr>
          <w:ilvl w:val="1"/>
          <w:numId w:val="1003"/>
        </w:numPr>
      </w:pPr>
      <w:r>
        <w:t xml:space="preserve">Wszelkie inne dokumenty związane z nakładami adaptacyjnymi (kosztorysy, projekty, dowody zapłaty).</w:t>
      </w:r>
    </w:p>
    <w:p>
      <w:pPr>
        <w:pStyle w:val="Compact"/>
        <w:numPr>
          <w:ilvl w:val="1"/>
          <w:numId w:val="1003"/>
        </w:numPr>
      </w:pPr>
      <w:r>
        <w:t xml:space="preserve">Dokumentacja fotograficzna/wideo miejsca zalania i poniesionych szkód.</w:t>
      </w:r>
    </w:p>
    <w:p>
      <w:pPr>
        <w:pStyle w:val="Compact"/>
        <w:numPr>
          <w:ilvl w:val="0"/>
          <w:numId w:val="1002"/>
        </w:numPr>
      </w:pPr>
      <w:r>
        <w:rPr>
          <w:b/>
          <w:bCs/>
        </w:rPr>
        <w:t xml:space="preserve">Zgromadzenie dowodów dotyczących zalania (w terminie niezwłocznym):</w:t>
      </w:r>
    </w:p>
    <w:p>
      <w:pPr>
        <w:pStyle w:val="Compact"/>
        <w:numPr>
          <w:ilvl w:val="1"/>
          <w:numId w:val="1004"/>
        </w:numPr>
      </w:pPr>
      <w:r>
        <w:t xml:space="preserve">Złożyć wniosek do zarządcy/wspólnoty mieszkaniowej (jeśli istnieje) lub bezpośrednio do Wynajmującego o udostępnienie protokołów awarii instalacji kanalizacyjnej z 15 marca 2025 r. [Źródło 1].</w:t>
      </w:r>
    </w:p>
    <w:p>
      <w:pPr>
        <w:pStyle w:val="Compact"/>
        <w:numPr>
          <w:ilvl w:val="1"/>
          <w:numId w:val="1004"/>
        </w:numPr>
      </w:pPr>
      <w:r>
        <w:t xml:space="preserve">Zlecić niezależną ekspertyzę techniczną instalacji kanalizacyjnej w budynku w celu ustalenia przyczyny awarii i określenia, czy wada leżała po stronie instalacji pionowej.</w:t>
      </w:r>
    </w:p>
    <w:p>
      <w:pPr>
        <w:pStyle w:val="Compact"/>
        <w:numPr>
          <w:ilvl w:val="1"/>
          <w:numId w:val="1004"/>
        </w:numPr>
      </w:pPr>
      <w:r>
        <w:t xml:space="preserve">Pozyskać zeznania świadków (pracowników, sąsiadów, osób usuwających awarię).</w:t>
      </w:r>
    </w:p>
    <w:p>
      <w:pPr>
        <w:pStyle w:val="Compact"/>
        <w:numPr>
          <w:ilvl w:val="0"/>
          <w:numId w:val="1002"/>
        </w:numPr>
      </w:pPr>
      <w:r>
        <w:rPr>
          <w:b/>
          <w:bCs/>
        </w:rPr>
        <w:t xml:space="preserve">Sporządzenie i wysłanie Wezwania do zapłaty i zwrotu kaucji (termin: 7 dni):</w:t>
      </w:r>
      <w:r>
        <w:t xml:space="preserve"> </w:t>
      </w:r>
      <w:r>
        <w:t xml:space="preserve">Opracować i wysłać Wynajmującemu wezwanie do zapłaty kwoty potrąconej kaucji (36 000 zł), odszkodowania za sprzęt (██ ███ zł brutto) i remont (██ ███ zł brutto), wraz z odsetkami. W piśmie należy jednoznacznie zakwestionować zasadność żądania uzupełnienia kaucji i wypowiedzenia umowy najmu.</w:t>
      </w:r>
    </w:p>
    <w:p>
      <w:pPr>
        <w:pStyle w:val="Compact"/>
        <w:numPr>
          <w:ilvl w:val="0"/>
          <w:numId w:val="1002"/>
        </w:numPr>
      </w:pPr>
      <w:r>
        <w:rPr>
          <w:b/>
          <w:bCs/>
        </w:rPr>
        <w:t xml:space="preserve">Oczekiwanie na odpowiedź Wynajmującego (termin: np. 14 dni od doręczenia wezwania):</w:t>
      </w:r>
      <w:r>
        <w:t xml:space="preserve"> </w:t>
      </w:r>
      <w:r>
        <w:t xml:space="preserve">Jeśli Wynajmujący nie zareaguje lub jego odpowiedź będzie niesatysfakcjonująca.</w:t>
      </w:r>
    </w:p>
    <w:p>
      <w:pPr>
        <w:pStyle w:val="Compact"/>
        <w:numPr>
          <w:ilvl w:val="0"/>
          <w:numId w:val="1002"/>
        </w:numPr>
      </w:pPr>
      <w:r>
        <w:rPr>
          <w:b/>
          <w:bCs/>
        </w:rPr>
        <w:t xml:space="preserve">Rozważenie wniesienia Pozwu o zapłatę (po upływie terminu na odpowiedź na wezwanie):</w:t>
      </w:r>
      <w:r>
        <w:t xml:space="preserve"> </w:t>
      </w:r>
      <w:r>
        <w:t xml:space="preserve">Przygotować pozew o zapłatę, uwzględniający wszystkie roszczenia Najemcy, wraz z wnioskami dowodowymi (w tym o dopuszczenie dowodu z opinii biegłego z zakresu hydrauliki/budownictwa).</w:t>
      </w:r>
    </w:p>
    <w:p>
      <w:r>
        <w:pict>
          <v:rect style="width:0;height:1.5pt" o:hralign="center" o:hrstd="t" o:hr="t"/>
        </w:pict>
      </w:r>
    </w:p>
    <w:p>
      <w:pPr>
        <w:pStyle w:val="FirstParagraph"/>
      </w:pPr>
      <w:r>
        <w:t xml:space="preserve">[[PROPOSE_DOC: Wezwanie do zapłaty i zwrotu kaucji]]</w:t>
      </w:r>
      <w:r>
        <w:t xml:space="preserve"> </w:t>
      </w:r>
      <w:r>
        <w:t xml:space="preserve">[[PROPOSE_DOC: Pozew o zapłatę]]</w:t>
      </w:r>
      <w:r>
        <w:t xml:space="preserve"> </w:t>
      </w:r>
      <w:r>
        <w:t xml:space="preserve">[[PROPOSE_DOC: Wniosek o zabezpieczenie powództwa]]</w:t>
      </w:r>
    </w:p>
    <w:p>
      <w:r>
        <w:pict>
          <v:rect style="width:0;height:1.5pt" o:hralign="center" o:hrstd="t" o:hr="t"/>
        </w:pic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2026-10-05T19:14:14Z</dcterms:created>
  <dcterms:modified xsi:type="dcterms:W3CDTF">2026-10-05T19:14:14Z</dcterms:modified>
</cp:coreProperties>
</file>

<file path=docProps/custom.xml><?xml version="1.0" encoding="utf-8"?>
<Properties xmlns="http://schemas.openxmlformats.org/officeDocument/2006/custom-properties" xmlns:vt="http://schemas.openxmlformats.org/officeDocument/2006/docPropsVTypes"/>
</file>