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sprawa-065-stan-faktyczny-i-dokumenty"/>
    <w:p>
      <w:pPr>
        <w:pStyle w:val="Heading1"/>
      </w:pPr>
      <w:r>
        <w:t xml:space="preserve">Sprawa 065 — stan faktyczny i dokumenty</w:t>
      </w:r>
    </w:p>
    <w:bookmarkStart w:id="9" w:name="X70c1e536ca3d0a9ab82f0125e1bc42fbef547d0"/>
    <w:p>
      <w:pPr>
        <w:pStyle w:val="Heading2"/>
      </w:pPr>
      <w:r>
        <w:t xml:space="preserve">CZĘŚĆ I. SPRAWA (kazus + załączniki — dane testowe)</w:t>
      </w:r>
    </w:p>
    <w:bookmarkEnd w:id="9"/>
    <w:bookmarkEnd w:id="10"/>
    <w:bookmarkStart w:id="17" w:name="X83202af9fbf39e037448491ec2a53e9a80b3353"/>
    <w:p>
      <w:pPr>
        <w:pStyle w:val="Heading1"/>
      </w:pPr>
      <w:r>
        <w:t xml:space="preserve">STAN FAKTYCZNY I ZADANIE DLA KANCELARII (KAZUS: NAJEM I NIERUCHOMOŚCI)</w:t>
      </w:r>
    </w:p>
    <w:bookmarkStart w:id="11" w:name="i.-zwięzły-opis-stanu-faktycznego"/>
    <w:p>
      <w:pPr>
        <w:pStyle w:val="Heading2"/>
      </w:pPr>
      <w:r>
        <w:t xml:space="preserve">I. Zwięzły opis stanu faktycznego</w:t>
      </w:r>
    </w:p>
    <w:p>
      <w:pPr>
        <w:pStyle w:val="FirstParagraph"/>
      </w:pPr>
      <w:r>
        <w:t xml:space="preserve">Strony sprawy</w:t>
      </w:r>
      <w:r>
        <w:t xml:space="preserve"> </w:t>
      </w:r>
      <w:r>
        <w:t xml:space="preserve">- Twój Klient: J. K., PESEL ███████████, zam. Miasto A; właściciel działki nr 45/3 obr. 12, wpisana do księgi wieczystej KW WA1M/████████/█ prowadzonej przez Sąd Rejonowy w Mieście A, właściciel prawa własności ujawnionego w dziale II i III KW.</w:t>
      </w:r>
      <w:r>
        <w:t xml:space="preserve"> </w:t>
      </w:r>
      <w:r>
        <w:t xml:space="preserve">- Strona przeciwna: S. R-U</w:t>
      </w:r>
      <w:r>
        <w:t xml:space="preserve"> </w:t>
      </w:r>
      <w:r>
        <w:t xml:space="preserve">“B.”</w:t>
      </w:r>
      <w:r>
        <w:t xml:space="preserve"> </w:t>
      </w:r>
      <w:r>
        <w:t xml:space="preserve">Sp. z o.o., NIP ███-███-██-██, siedziba Wieś B; reprezentowana przez prezesa zarządu T. B. (PESEL ███████████).</w:t>
      </w:r>
    </w:p>
    <w:p>
      <w:pPr>
        <w:pStyle w:val="BodyText"/>
      </w:pPr>
      <w:r>
        <w:t xml:space="preserve">Dokładne daty zdarzeń, kwoty i numery</w:t>
      </w:r>
      <w:r>
        <w:t xml:space="preserve"> </w:t>
      </w:r>
      <w:r>
        <w:t xml:space="preserve">- 05.04.2019 r. – Strony zawarły Umowę o ustanowienie służebności drogi (dalej: Umowa) nr UR-████/██/██, sporządzoną w formie aktu notarialnego repertorium A-████/████ w Kancelarii Notarialnej Alicji Nowackiej w Mieście A. Treść Umowy została wpisana w dziale IV KW WA1M/████████/█.</w:t>
      </w:r>
      <w:r>
        <w:t xml:space="preserve"> </w:t>
      </w:r>
      <w:r>
        <w:t xml:space="preserve">- Przedmiot służebności: prawo przejścia i przejazdu dla pojazdów rolniczych, samochodów dostawczych i pieszych po drodze gruntowej biegnącej przez działkę nr 45/3 w pasie szerokości określonym w Umowie.</w:t>
      </w:r>
      <w:r>
        <w:t xml:space="preserve"> </w:t>
      </w:r>
      <w:r>
        <w:t xml:space="preserve">- Par. 2 Umowy: „Służebność drogi obejmuje prawo przejścia i przejazdu pojazdami o masie całkowitej do 3,5 t oraz maszynami rolniczymi, po wyznaczonym pasie o szerokości nominalnej 4,0 m, z prawem dokonywania niezbędnych prac utrzymaniowych i napraw nawierzchni przez uprawnionego.”</w:t>
      </w:r>
      <w:r>
        <w:t xml:space="preserve"> </w:t>
      </w:r>
      <w:r>
        <w:t xml:space="preserve">- Par. 4 Umowy (kluczowy): „Wynagrodzenie za ustanowienie służebności ustala się jako opłatę roczną w wysokości 1% wartości rynkowej działki obciążonej, obliczaną według wartości określonej w operacie szacunkowym sporządzonym na dzień 01.01 każdego roku. Płatność w terminie do 31 marca każdego roku na konto właściciela działki. W przypadku braku uiszczenia opłaty przewidziane jest oprocentowanie ustawowe za opóźnienie oraz zwrot kosztów egzekucyjnych.”</w:t>
      </w:r>
      <w:r>
        <w:t xml:space="preserve"> </w:t>
      </w:r>
      <w:r>
        <w:t xml:space="preserve">- 15.06.2019 r. – wpis służebności do KW, nr wpisu IV-█.</w:t>
      </w:r>
      <w:r>
        <w:t xml:space="preserve"> </w:t>
      </w:r>
      <w:r>
        <w:t xml:space="preserve">- 28.03.2023 r. – S. R-U</w:t>
      </w:r>
      <w:r>
        <w:t xml:space="preserve"> </w:t>
      </w:r>
      <w:r>
        <w:t xml:space="preserve">“B.”</w:t>
      </w:r>
      <w:r>
        <w:t xml:space="preserve"> </w:t>
      </w:r>
      <w:r>
        <w:t xml:space="preserve">Sp. z o.o. zleciła firmie wyceny „</w:t>
      </w:r>
      <w:r>
        <w:t xml:space="preserve">“A-W.”</w:t>
      </w:r>
      <w:r>
        <w:t xml:space="preserve">” operat szacunkowy wartości działki nr 45/3 na dzień 01.01.2023 r.; wycena opiewa na 600 000,00 zł brutto (faktura FV/AGRO/████/██/██).</w:t>
      </w:r>
      <w:r>
        <w:t xml:space="preserve"> </w:t>
      </w:r>
      <w:r>
        <w:t xml:space="preserve">- 31.03.2023 r. – Spółka uregulowała kwotę 6 000,00 zł (1% z 600 000,00 zł) przelewem na konto Klienta (dowód przelewu nr PR/████/██/██).</w:t>
      </w:r>
      <w:r>
        <w:t xml:space="preserve"> </w:t>
      </w:r>
      <w:r>
        <w:t xml:space="preserve">- 15.11.2023 r. – Spór: S. R-U</w:t>
      </w:r>
      <w:r>
        <w:t xml:space="preserve"> </w:t>
      </w:r>
      <w:r>
        <w:t xml:space="preserve">“B.”</w:t>
      </w:r>
      <w:r>
        <w:t xml:space="preserve"> </w:t>
      </w:r>
      <w:r>
        <w:t xml:space="preserve">Sp. z o.o. rozpoczęła użytkowanie drogi w sposób ciągły cięższymi maszynami (samochody 7,5 t, ciągniki z przyczepami) oraz wykonała lokalne poszerzenie do 5,5 m bez zgody Klienta; ponadto firma rozebrała fragment ogrodzenia w celu wjazdu kombajnu poza wyznaczonym pasem.</w:t>
      </w:r>
      <w:r>
        <w:t xml:space="preserve"> </w:t>
      </w:r>
      <w:r>
        <w:t xml:space="preserve">- 20.11.2023 r. – Klient wysłał pismo reklamacyjne/wezwanie do zaprzestania działań i usunięcia naruszeń, datowane i doręczone Spółce 22.11.2023 r. (wezwań brak podpisu podwykonawców).</w:t>
      </w:r>
      <w:r>
        <w:t xml:space="preserve"> </w:t>
      </w:r>
      <w:r>
        <w:t xml:space="preserve">- 05.12.2023 r. – Spółka odpisała pismem z dnia 04.12.2023 r., że strony „ustaliły zwyczajowy sposób korzystania” i że par. 2 Umowy należy interpretować szeroko; Spółka twierdzi, iż powiększenie pasa do 5,5 m i stosowanie maszyn cięższych niż 3,5 t było konieczne ze względu na technologię prac polowych, oraz że opłata roczna może być obniżona na podstawie art. 3531 k.c. (zasada swobody umów) i wskazała na „spadek wartości rynkowej działki” w 2024 r.</w:t>
      </w:r>
      <w:r>
        <w:t xml:space="preserve"> </w:t>
      </w:r>
      <w:r>
        <w:t xml:space="preserve">- 17.01.2024 r. – Klient zlecił wykonanie ekspertyzy biegłego drogowego J. M. nt. wpływu użytkowania na konstrukcję drogi i na nieruchomość; ekspertyza (z dnia 10.02.2024 r.) stwierdziła: zwiększone odkształcenia, spękania nawierzchni, ryzyko osuwisk na odcinku 30 m; koszt napraw: 34 560,00 zł brutto (faktura FV/EX/████/██/██).</w:t>
      </w:r>
      <w:r>
        <w:t xml:space="preserve"> </w:t>
      </w:r>
      <w:r>
        <w:t xml:space="preserve">- 25.02.2024 r. – Spółka odmówiła pokrycia kosztów napraw powołując się na brzmienie par. 2 i 4 Umowy oraz twierdząc, że koszty konserwacji są wliczone w opłatę roczną. W piśmie z 25.02.2024 r. Spółka powołała się również na operat z 2024 r. sporządzony przez „</w:t>
      </w:r>
      <w:r>
        <w:t xml:space="preserve">“A-W.”</w:t>
      </w:r>
      <w:r>
        <w:t xml:space="preserve">” (14.02.2024 r.), w którym wartość działki obniżono do 550 000,00 zł, co – według Spółki – uprawnia do zapłaty opłaty rocznej 5 500,00 zł za 2024 r.</w:t>
      </w:r>
      <w:r>
        <w:t xml:space="preserve"> </w:t>
      </w:r>
      <w:r>
        <w:t xml:space="preserve">- 15.03.2024 r. – Klient otrzymał przelew od Spółki w wysokości 5 500,00 zł (dowód PR/████/██/██); kwota została zaksięgowana w dniu 18.03.2024 r.</w:t>
      </w:r>
      <w:r>
        <w:t xml:space="preserve"> </w:t>
      </w:r>
      <w:r>
        <w:t xml:space="preserve">- 30.09.2024 r. – Klient wystosował ostateczne wezwanie do zapłaty roszczenia z tytułu napraw drogi i przywrócenia stanu poprzedniego w wysokości 34 560,00 zł oraz różnicy opłat za 2024 r. w wysokości 500,00 zł (bo według Klienta obowiązywała wycena 600 000,00 zł, a nie 550 000,00 zł), wraz z odsetkami ustawowymi od 01.04.2024 r. i wezwał do zapłaty w terminie 14 dni (wezwanie nr WZ/████/██/██). Wezwanie doręczone 03.10.2024 r.</w:t>
      </w:r>
      <w:r>
        <w:t xml:space="preserve"> </w:t>
      </w:r>
      <w:r>
        <w:t xml:space="preserve">- 20.10.2024 r. – Spółka odpowiedziała pismem z 18.10.2024 r., że nie uznaje roszczeń wobec kosztów napraw, powołując się na „umowny charakter opłaty rocznej” obejmujący utrzymanie drogi oraz że różnica opłat została skompensowana kosztem usług porządkowych świadczonych z jej inicjatywy. Spółka odmówiła dalszych rozmów mediation.</w:t>
      </w:r>
    </w:p>
    <w:p>
      <w:pPr>
        <w:pStyle w:val="BodyText"/>
      </w:pPr>
      <w:r>
        <w:t xml:space="preserve">Stanowisko strony przeciwnej</w:t>
      </w:r>
      <w:r>
        <w:t xml:space="preserve"> </w:t>
      </w:r>
      <w:r>
        <w:t xml:space="preserve">- Spółka twierdzi, że:</w:t>
      </w:r>
      <w:r>
        <w:t xml:space="preserve"> </w:t>
      </w:r>
      <w:r>
        <w:t xml:space="preserve">- par. 2 Umowy uprawnia do użytkowania drogą obowiązującym sposobem, który ukształtował się w praktyce („zwyczajowe korzystanie”);</w:t>
      </w:r>
      <w:r>
        <w:t xml:space="preserve"> </w:t>
      </w:r>
      <w:r>
        <w:t xml:space="preserve">- par. 4 wyłącznie określa mechanizm aktualizacji opłaty na podstawie operatu sporządzonego corocznie przez uprawnionego do wyceny – Spółka dostarczyła własne operaty na 2023 i 2024 r.;</w:t>
      </w:r>
      <w:r>
        <w:t xml:space="preserve"> </w:t>
      </w:r>
      <w:r>
        <w:t xml:space="preserve">- opłata roczna obejmuje również koszty remontów i bieżącego utrzymania drogi i tym samym nie ma obowiązku dodatkowego świadczenia kosztów naprawy w wysokości 34 560,00 zł;</w:t>
      </w:r>
      <w:r>
        <w:t xml:space="preserve"> </w:t>
      </w:r>
      <w:r>
        <w:t xml:space="preserve">- alternatywnie, jeśli wystąpi obowiązek dopłaty, roszczenie Klienta jest przedawnione według ich oceny (odwołują się do „zatarcia roszczeń w toku korzystania” i „czynności zmierzających do ugody”).</w:t>
      </w:r>
    </w:p>
    <w:p>
      <w:pPr>
        <w:pStyle w:val="BodyText"/>
      </w:pPr>
      <w:r>
        <w:t xml:space="preserve">Klient kancelarii</w:t>
      </w:r>
      <w:r>
        <w:t xml:space="preserve"> </w:t>
      </w:r>
      <w:r>
        <w:t xml:space="preserve">- Twój Klient: J. K.. Domaga się:</w:t>
      </w:r>
      <w:r>
        <w:t xml:space="preserve"> </w:t>
      </w:r>
      <w:r>
        <w:t xml:space="preserve">- zapłaty kosztów naprawy drogi 34 560,00 zł z ustawowymi odsetkami od 01.01.2024 r.;</w:t>
      </w:r>
      <w:r>
        <w:t xml:space="preserve"> </w:t>
      </w:r>
      <w:r>
        <w:t xml:space="preserve">- wyrównania różnicy opłaty rocznej za 2024 r. w kwocie 500,00 zł (1% z 600 000 – 1% z 550 000);</w:t>
      </w:r>
      <w:r>
        <w:t xml:space="preserve"> </w:t>
      </w:r>
      <w:r>
        <w:t xml:space="preserve">- zabezpieczenia na nieruchomości roszczenia w razie procesu.</w:t>
      </w:r>
    </w:p>
    <w:p>
      <w:pPr>
        <w:pStyle w:val="BodyText"/>
      </w:pPr>
      <w:r>
        <w:t xml:space="preserve">Dodatkowe okoliczności</w:t>
      </w:r>
      <w:r>
        <w:t xml:space="preserve"> </w:t>
      </w:r>
      <w:r>
        <w:t xml:space="preserve">- W Umowie nie ma szczegółowego rozdzielenia obowiązków naprawczych i kosztów utrzymania (brak definicji „konserwacji” vs. „naprawa konstrukcyjna”).</w:t>
      </w:r>
      <w:r>
        <w:t xml:space="preserve"> </w:t>
      </w:r>
      <w:r>
        <w:t xml:space="preserve">- Wypowiedzi świadków (miejscowych rolników) wskazują, że od 2020 r. Spółka używała cięższych maszyn, jednak pierwszy kosztowny uszczerbek powstał dopiero w 2023 r.</w:t>
      </w:r>
      <w:r>
        <w:t xml:space="preserve"> </w:t>
      </w:r>
      <w:r>
        <w:t xml:space="preserve">- Sprawa może wymagać zabezpieczenia roszczenia z wpisem do KW lub wniosku o zabezpieczenie sądowe.</w:t>
      </w:r>
    </w:p>
    <w:bookmarkEnd w:id="11"/>
    <w:bookmarkStart w:id="14" w:name="ii.-dokumenty-i-załączniki-dane-testowe"/>
    <w:p>
      <w:pPr>
        <w:pStyle w:val="Heading2"/>
      </w:pPr>
      <w:r>
        <w:t xml:space="preserve">II. Dokumenty i załączniki (dane testowe)</w:t>
      </w:r>
    </w:p>
    <w:bookmarkStart w:id="12" w:name="Xd789a4ce34ed5b24e1a6d5eaa45c55a12107f98"/>
    <w:p>
      <w:pPr>
        <w:pStyle w:val="Heading3"/>
      </w:pPr>
      <w:r>
        <w:t xml:space="preserve">Załącznik nr 1 – Akt notarialny Umowy o ustanowienie służebności drogi nr UR-████/██/██</w:t>
      </w:r>
    </w:p>
    <w:p>
      <w:pPr>
        <w:pStyle w:val="FirstParagraph"/>
      </w:pPr>
      <w:r>
        <w:t xml:space="preserve">Kancelaria Notarialna Alicji Nowackiej w Mieście A</w:t>
      </w:r>
      <w:r>
        <w:br/>
      </w:r>
      <w:r>
        <w:t xml:space="preserve">Repertorium A-████/████</w:t>
      </w:r>
      <w:r>
        <w:br/>
      </w:r>
      <w:r>
        <w:t xml:space="preserve">Sporządzono dnia 05 kwietnia 2019 r. w Mieście A</w:t>
      </w:r>
    </w:p>
    <w:p>
      <w:pPr>
        <w:pStyle w:val="BodyText"/>
      </w:pPr>
      <w:r>
        <w:t xml:space="preserve">Strony:</w:t>
      </w:r>
      <w:r>
        <w:t xml:space="preserve"> </w:t>
      </w:r>
      <w:r>
        <w:t xml:space="preserve">1) J. K., PESEL ███████████, zam. Miasto A (dalej „Właściciel działki”),</w:t>
      </w:r>
      <w:r>
        <w:t xml:space="preserve"> </w:t>
      </w:r>
      <w:r>
        <w:t xml:space="preserve">2) S. R-U</w:t>
      </w:r>
      <w:r>
        <w:t xml:space="preserve"> </w:t>
      </w:r>
      <w:r>
        <w:t xml:space="preserve">“B.”</w:t>
      </w:r>
      <w:r>
        <w:t xml:space="preserve"> </w:t>
      </w:r>
      <w:r>
        <w:t xml:space="preserve">Sp. z o.o., NIP ███-███-██-██, Wieś B, reprezentowana przez prezesa T. B. (PESEL ███████████) (dalej „Uprawniony”).</w:t>
      </w:r>
    </w:p>
    <w:p>
      <w:pPr>
        <w:pStyle w:val="BodyText"/>
      </w:pPr>
      <w:r>
        <w:t xml:space="preserve">Postanowienia:</w:t>
      </w:r>
      <w:r>
        <w:t xml:space="preserve"> </w:t>
      </w:r>
      <w:r>
        <w:t xml:space="preserve">Par. 1 – Właściciel ustanawia na rzecz Uprawnionego, nieodpłatnie/przez wynagrodzenie (zob. par. 4), służebność drogi gruntowej po działce nr 45/3 obr. 12, obejmującą prawo przejścia i przejazdu.</w:t>
      </w:r>
      <w:r>
        <w:t xml:space="preserve"> </w:t>
      </w:r>
      <w:r>
        <w:t xml:space="preserve">Par. 2 – Służebność obejmuje prawo przejazdu pojazdami o masie całkowitej do 3,5 t oraz maszynami rolniczymi. Ustala się pas nominalnej szerokości 4,0 m. Uprawniony ma prawo wykonywania niezbędnych prac utrzymaniowych i napraw nawierzchni (naprawy bieżące).</w:t>
      </w:r>
      <w:r>
        <w:t xml:space="preserve"> </w:t>
      </w:r>
      <w:r>
        <w:t xml:space="preserve">Par. 3 – Służebność ustanawia się na czas nieoznaczony. Uprawniony może korzystać ze służebności również przez osoby trzecie (kontrahentów).</w:t>
      </w:r>
      <w:r>
        <w:t xml:space="preserve"> </w:t>
      </w:r>
      <w:r>
        <w:t xml:space="preserve">Par. 4 – Wynagrodzenie: „Wynagrodzenie za ustanowienie służebności ustala się jako opłatę roczną w wysokości 1% wartości rynkowej działki obciążonej, obliczaną według wartości określonej w operacie szacunkowym sporządzonym na dzień 01 stycznia każdego roku. Płatność w terminie do 31 marca każdego roku na rachunek bankowy Właściciela: ██ ███ ██ ███. W przypadku braku uiszczenia opłaty przewidziane jest oprocentowanie ustawowe za opóźnienie oraz zwrot kosztów egzekucyjnych.”</w:t>
      </w:r>
      <w:r>
        <w:t xml:space="preserve"> </w:t>
      </w:r>
      <w:r>
        <w:t xml:space="preserve">Par. 5 – Właściciel zastrzega, iż wszelkie prace budowlane poza normalnym utrzymaniem drogi wymagają uprzedniej pisemnej zgody Właściciela.</w:t>
      </w:r>
      <w:r>
        <w:t xml:space="preserve"> </w:t>
      </w:r>
      <w:r>
        <w:t xml:space="preserve">Par. 6 – Postanowienia końcowe: właściwość sądu rejonowego w Mieście A.</w:t>
      </w:r>
    </w:p>
    <w:p>
      <w:pPr>
        <w:pStyle w:val="BodyText"/>
      </w:pPr>
      <w:r>
        <w:t xml:space="preserve">Podpisy: J. K. / T. B.</w:t>
      </w:r>
      <w:r>
        <w:br/>
      </w:r>
      <w:r>
        <w:t xml:space="preserve">Notariusz: A. N., podpis i pieczęć.</w:t>
      </w:r>
    </w:p>
    <w:p>
      <w:pPr>
        <w:pStyle w:val="BodyText"/>
      </w:pPr>
      <w:r>
        <w:t xml:space="preserve">Wpis do KW WA1M/████████/█ – dział IV: IV-█ – służebność drogi na rzecz S. R-U</w:t>
      </w:r>
      <w:r>
        <w:t xml:space="preserve"> </w:t>
      </w:r>
      <w:r>
        <w:t xml:space="preserve">“B.”</w:t>
      </w:r>
      <w:r>
        <w:t xml:space="preserve"> </w:t>
      </w:r>
      <w:r>
        <w:t xml:space="preserve">Sp. z o.o.</w:t>
      </w:r>
    </w:p>
    <w:bookmarkEnd w:id="12"/>
    <w:bookmarkStart w:id="13" w:name="Xd33ab4658ddb323f5c8d380dd014c86048f3b92"/>
    <w:p>
      <w:pPr>
        <w:pStyle w:val="Heading3"/>
      </w:pPr>
      <w:r>
        <w:t xml:space="preserve">Załącznik nr 2 – Wezwanie do zapłaty i dokumentacja kosztów naprawy</w:t>
      </w:r>
    </w:p>
    <w:p>
      <w:pPr>
        <w:pStyle w:val="FirstParagraph"/>
      </w:pPr>
      <w:r>
        <w:t xml:space="preserve">J. K., Miasto A</w:t>
      </w:r>
      <w:r>
        <w:br/>
      </w:r>
      <w:r>
        <w:t xml:space="preserve">Do: S. R-U</w:t>
      </w:r>
      <w:r>
        <w:t xml:space="preserve"> </w:t>
      </w:r>
      <w:r>
        <w:t xml:space="preserve">“B.”</w:t>
      </w:r>
      <w:r>
        <w:t xml:space="preserve"> </w:t>
      </w:r>
      <w:r>
        <w:t xml:space="preserve">Sp. z o.o., Wieś B</w:t>
      </w:r>
    </w:p>
    <w:p>
      <w:pPr>
        <w:pStyle w:val="BodyText"/>
      </w:pPr>
      <w:r>
        <w:t xml:space="preserve">Wezwanie do zapłaty nr WZ/████/██/██ z dnia 30 września 2024 r. (doręczone 03.10.2024 r.)</w:t>
      </w:r>
    </w:p>
    <w:p>
      <w:pPr>
        <w:pStyle w:val="BodyText"/>
      </w:pPr>
      <w:r>
        <w:t xml:space="preserve">Na podstawie umowy ustanawiającej służebność drogi z dnia 05.04.2019 r. (Repertorium A-████/████) oraz wpisu do księgi wieczystej KW WA1M/████████/█, wzywam Spółkę Rolno-Usługową</w:t>
      </w:r>
      <w:r>
        <w:t xml:space="preserve"> </w:t>
      </w:r>
      <w:r>
        <w:t xml:space="preserve">“Bielany”</w:t>
      </w:r>
      <w:r>
        <w:t xml:space="preserve"> </w:t>
      </w:r>
      <w:r>
        <w:t xml:space="preserve">Sp. z o.o. do niezwłocznego uregulowania następujących należności:</w:t>
      </w:r>
    </w:p>
    <w:p>
      <w:pPr>
        <w:numPr>
          <w:ilvl w:val="0"/>
          <w:numId w:val="1001"/>
        </w:numPr>
      </w:pPr>
      <w:r>
        <w:t xml:space="preserve">Koszty naprawy nawierzchni drogi oraz przywrócenia stanu poprzedniego wynikające z ekspertyzy biegłego drogowego J. M. (ekspertyza z dnia 10.02.2024 r.; załącznik A): 34 560,00 zł brutto. Termin zapłaty: 14 dni od doręczenia niniejszego wezwania. W razie braku zapłaty naliczone zostaną odsetki ustawowe za opóźnienie od dnia 01.01.2024 r.</w:t>
      </w:r>
    </w:p>
    <w:p>
      <w:pPr>
        <w:numPr>
          <w:ilvl w:val="0"/>
          <w:numId w:val="1001"/>
        </w:numPr>
      </w:pPr>
      <w:r>
        <w:t xml:space="preserve">Różnica opłaty rocznej za rok 2024: zgodnie z operatem wyceny sporządzonym 28.03.2023 r. przez</w:t>
      </w:r>
      <w:r>
        <w:t xml:space="preserve"> </w:t>
      </w:r>
      <w:r>
        <w:t xml:space="preserve">“A-W.”</w:t>
      </w:r>
      <w:r>
        <w:t xml:space="preserve"> </w:t>
      </w:r>
      <w:r>
        <w:t xml:space="preserve">wartość działki na 01.01.2023 r. wynosiła 600 000,00 zł; Spółka dokonała wpłaty za 2024 r. w kwocie 5 500,00 zł (operat z 14.02.2024 r. obniżył wartość do 550 000,00 zł). Wzywam do uzupełnienia płatności w wysokości 500,00 zł (1% z 600 000 – 1% z 550 000). Termin zapłaty: 14 dni od doręczenia.</w:t>
      </w:r>
    </w:p>
    <w:p>
      <w:pPr>
        <w:pStyle w:val="FirstParagraph"/>
      </w:pPr>
      <w:r>
        <w:t xml:space="preserve">W przypadku braku zapłaty zostaną podjęte kroki prawne, w tym dochodzenie roszczeń przed sądem oraz wniosek o zabezpieczenie roszczeń poprzez wpis w księdze wieczystej i ewentualne wystąpienie o zabezpieczenie tymczasowe.</w:t>
      </w:r>
    </w:p>
    <w:p>
      <w:pPr>
        <w:pStyle w:val="BodyText"/>
      </w:pPr>
      <w:r>
        <w:t xml:space="preserve">Załączniki: 1) Faktura za ekspertyzę biegłego: FV/EX/████/██/██ – 34 560,00 zł; 2) Dowody przelewów 2023–2024; 3) Kopia aktu notarialnego UR-████/██/██; 4) Fotografie uszkodzeń drogi z 05.09.2023 r. do 20.10.2024 r.</w:t>
      </w:r>
    </w:p>
    <w:p>
      <w:pPr>
        <w:pStyle w:val="BodyText"/>
      </w:pPr>
      <w:r>
        <w:t xml:space="preserve">Podpisano: J. K. (podpis odręczny)</w:t>
      </w:r>
      <w:r>
        <w:br/>
      </w:r>
      <w:r>
        <w:t xml:space="preserve">Data: 30.09.2024 r.</w:t>
      </w:r>
    </w:p>
    <w:p>
      <w:pPr>
        <w:pStyle w:val="BodyText"/>
      </w:pPr>
      <w:r>
        <w:t xml:space="preserve">Odpowiedź Spółki (kopia pisma z 18.10.2024 r. doręczona 21.10.2024 r.) – krótkie streszczenie: odmowa pokrycia kosztów napraw, twierdzenie, że opłata roczna obejmuje koszty utrzymania, powołanie się na własne operaty wartości oraz zarzut przedawnienia/kompensaty.</w:t>
      </w:r>
    </w:p>
    <w:bookmarkEnd w:id="13"/>
    <w:bookmarkEnd w:id="14"/>
    <w:bookmarkStart w:id="15" w:name="X5f55c529dcb1d793b97fef34425a948b67240c7"/>
    <w:p>
      <w:pPr>
        <w:pStyle w:val="Heading2"/>
      </w:pPr>
      <w:r>
        <w:t xml:space="preserve">III. Wytyczne i zadania do analizy prawnej dla prawnika</w:t>
      </w:r>
    </w:p>
    <w:p>
      <w:pPr>
        <w:pStyle w:val="FirstParagraph"/>
      </w:pPr>
      <w:r>
        <w:t xml:space="preserve">Proszę o przeprowadzenie analizy prawnej i przygotowanie propozycji strategii procesowej w następujących kwestiach (odwołania do przepisów należy zamieścić w analizie):</w:t>
      </w:r>
    </w:p>
    <w:p>
      <w:pPr>
        <w:numPr>
          <w:ilvl w:val="0"/>
          <w:numId w:val="1002"/>
        </w:numPr>
      </w:pPr>
      <w:r>
        <w:t xml:space="preserve">Ocena skuteczności i wykładnia klauzuli par. 2 i par. 5 Umowy oraz granice „niezbędnych prac utrzymaniowych i napraw nawierzchni”. Czy działania Spółki polegające na: (a) stosowaniu pojazdów cięższych niż 3,5 t, (b) poszerzeniu pasa do 5,5 m, (c) rozebraniu ogrodzenia i wjazdach poza pas służebności, mieszczą się w zakresie służebności? Wykładnia w świetle art. 285–305 k.c. (służebności gruntowe) i zasad ogólnych (art. 3531 k.c., art. 65 ustawy o gospodarce nieruchomościami?).</w:t>
      </w:r>
    </w:p>
    <w:p>
      <w:pPr>
        <w:numPr>
          <w:ilvl w:val="0"/>
          <w:numId w:val="1002"/>
        </w:numPr>
      </w:pPr>
      <w:r>
        <w:t xml:space="preserve">Ocena skuteczności klauzuli par. 4 dotyczącej wynagrodzenia: czy mechanizm ustalania opłaty rocznej jako 1% wartości rynkowej obciążonej działki, określonej „według operatu szacunkowego sporządzonego na dzień 01.01 każdego roku”, daje Spółce prawo jednostronnego sporządzania operatu i dokonywania obniżenia opłaty? Jakie są ryzyka dowodowe i jakie zapisy umożliwiają zakwestionowanie operatu Spółki (np. wybór rzeczoznawcy, tryb zatwierdzania operatu)? Odwołanie do zasad swobody umów (art. 3531 k.c.), dobrych obyczajów (art. 5 k.c.) oraz ewentualnej klauzuli abuzywnej.</w:t>
      </w:r>
    </w:p>
    <w:p>
      <w:pPr>
        <w:numPr>
          <w:ilvl w:val="0"/>
          <w:numId w:val="1002"/>
        </w:numPr>
      </w:pPr>
      <w:r>
        <w:t xml:space="preserve">Zakres odpowiedzialności za szkody i rozliczeń kosztowych: czy roszczenie Klienta o 34 560,00 zł za naprawy jest uzasadnione i czy Spółka mogła być pociągnięta do odpowiedzialności regresowej? Jak należy wykazać związek przyczynowy między wskazanym użytkowaniem (ciężkie maszyny) a powstaniem szkody (dowody, opinia biegłego)? Wskazać dopuszczalne środki dowodowe (ekspertyzy, opinie biegłych, dowody z ksiąg, zeznań świadków, dokumentacja fotograficzna) i ich wagę.</w:t>
      </w:r>
    </w:p>
    <w:p>
      <w:pPr>
        <w:numPr>
          <w:ilvl w:val="0"/>
          <w:numId w:val="1002"/>
        </w:numPr>
      </w:pPr>
      <w:r>
        <w:t xml:space="preserve">Terminy przedawnienia i biegu przedawnienia roszczeń: kiedy zaczyna biec przedawnienie roszczenia o zwrot kosztów naprawy, roszczenie o wyrównanie różnicy opłaty rocznej oraz roszczenie o odsetki? Przywołać przepisy o terminach przedawnienia roszczeń majątkowych (art. 118 i nast. k.c.) i ewentualne kwestie przerwania lub zawieszenia biegu terminu (art. 123–125 k.c.). Ocenić, czy roszczenia nie są przedawnione lub jak ewentualnie zabezpieczyć je przed upływem terminu.</w:t>
      </w:r>
    </w:p>
    <w:p>
      <w:pPr>
        <w:numPr>
          <w:ilvl w:val="0"/>
          <w:numId w:val="1002"/>
        </w:numPr>
      </w:pPr>
      <w:r>
        <w:t xml:space="preserve">Wyliczenie kwotowe roszczenia i ewentualne naliczenie odsetek: przygotować szczegółowy schemat wyliczenia roszczenia głównego i odsetek (ustawowych) za opóźnienie z podaniem daty początkowej naliczania odsetek (proponowane: 01.01.2024 lub data wymagalności poszczególnych płatności) oraz koszty egzekucyjne. Wskazać podstawę prawną naliczania odsetek (art. 481 §1 k.c. lub inne przepisy dotyczące odsetek ustawowych).</w:t>
      </w:r>
    </w:p>
    <w:p>
      <w:pPr>
        <w:numPr>
          <w:ilvl w:val="0"/>
          <w:numId w:val="1002"/>
        </w:numPr>
      </w:pPr>
      <w:r>
        <w:t xml:space="preserve">Strategia procesowa i ryzyka: ocenić możliwe drogi dochodzenia roszczeń (wezwanie przedsądowe, pozew do sądu rejonowego, wniosek o zabezpieczenie, mediacja), wskazać potencjalne ryzyka procesowe (np. zarzut zwyczajowego korzystania, rozbieżność operatów, koszty procesu, czas trwania) oraz rekomendować optymalny tryb działania (taktyka dowodowa, propozycje zabezpieczenia, ewentualne roszczenia alternatywne).</w:t>
      </w:r>
    </w:p>
    <w:p>
      <w:pPr>
        <w:pStyle w:val="FirstParagraph"/>
      </w:pPr>
      <w:r>
        <w:t xml:space="preserve">Przy analizie należy przywołać właściwe przepisy kodeksu cywilnego (w tym art. 285–305 k.c.), przepisy o odsetkach i przedawnieniu oraz ewentualne przepisy o wpisie do księgi wieczystej i zabezpieczeniach procesowych. Wskazać prowadzone przez klienta dowody i ocenić ich znaczenie.</w:t>
      </w:r>
    </w:p>
    <w:bookmarkEnd w:id="15"/>
    <w:bookmarkStart w:id="16" w:name="X99ad22c303571be48bb8b45f682f47b2448a1a3"/>
    <w:p>
      <w:pPr>
        <w:pStyle w:val="Heading2"/>
      </w:pPr>
      <w:r>
        <w:t xml:space="preserve">IV. Wymagane dokumenty i pisma do przygotowania</w:t>
      </w:r>
    </w:p>
    <w:p>
      <w:pPr>
        <w:pStyle w:val="FirstParagraph"/>
      </w:pPr>
      <w:r>
        <w:t xml:space="preserve">Proszę o przygotowanie następujących pism/dokumentów (wersje robocze do omówienia z Klientem):</w:t>
      </w:r>
    </w:p>
    <w:p>
      <w:pPr>
        <w:pStyle w:val="Compact"/>
        <w:numPr>
          <w:ilvl w:val="0"/>
          <w:numId w:val="1003"/>
        </w:numPr>
      </w:pPr>
      <w:r>
        <w:t xml:space="preserve">Opinia prawna dla Klienta (ok. 6–10 stron) zawierająca wykładnię umowy, ocenę szans procesowych, warianty dochodzenia roszczeń i propozycję żądań.</w:t>
      </w:r>
    </w:p>
    <w:p>
      <w:pPr>
        <w:pStyle w:val="Compact"/>
        <w:numPr>
          <w:ilvl w:val="0"/>
          <w:numId w:val="1003"/>
        </w:numPr>
      </w:pPr>
      <w:r>
        <w:t xml:space="preserve">Wezwanie przedsądowe zmodyfikowane/ostateczne (wersja formalna na papierze firmowym) – aktualizacja wezwania z 30.09.2024 r., z wezwaniem do zabezpieczenia roszczenia i zapowiedzią pozwu oraz wniosku o zabezpieczenie.</w:t>
      </w:r>
    </w:p>
    <w:p>
      <w:pPr>
        <w:pStyle w:val="Compact"/>
        <w:numPr>
          <w:ilvl w:val="0"/>
          <w:numId w:val="1003"/>
        </w:numPr>
      </w:pPr>
      <w:r>
        <w:t xml:space="preserve">Pozew do sądu rejonowego w Mieście A o zapłatę 34 560,00 zł + 500,00 zł + odsetki ustawowe od określonych dat, wraz z wnioskiem o zabezpieczenie roszczenia (wpis hipoteki przymusowej/uprawnienie do wpisu w KW lub zakaz rozporządzania nieruchomością).</w:t>
      </w:r>
    </w:p>
    <w:p>
      <w:pPr>
        <w:pStyle w:val="Compact"/>
        <w:numPr>
          <w:ilvl w:val="0"/>
          <w:numId w:val="1003"/>
        </w:numPr>
      </w:pPr>
      <w:r>
        <w:t xml:space="preserve">Wniosek o zabezpieczenie tymczasowe (art. 730 i nast. KPC/inne właściwe przepisy) – wpis do KW lub zakaz wykonywania dalszych prac poza dotychczasowym pasem służebności do czasu rozstrzygnięcia sporu.</w:t>
      </w:r>
    </w:p>
    <w:p>
      <w:pPr>
        <w:pStyle w:val="FirstParagraph"/>
      </w:pPr>
      <w:r>
        <w:t xml:space="preserve">Uwaga proceduralna: Nie przygotowuj w tej fazie gotowego pozwu z uzasadnieniem merytorycznym; kancelaria ma najpierw przeprowadzić analizę dowodową i wykonać nowe ekspertyzy na zlecenie Klienta przed złożeniem pozwu.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Konieczne dołączniki dowodowe dla prawnika: kopia aktu notarialnego (Załącznik nr 1), kopia wpisu do KW, dowody przelewów za lata 2019–2024, operaty sporządzone przez „</w:t>
      </w:r>
      <w:r>
        <w:t xml:space="preserve">“A-W.”</w:t>
      </w:r>
      <w:r>
        <w:t xml:space="preserve">” z 28.03.2023 r. i 14.02.2024 r., ekspertyza biegłego J. M. z 10.02.2024 r. oraz komplet fotografii uszkodzeń, kopie korespondencji (wezwania z 20.11.2023 r., pisma Spółki z 04.12.2023 r. oraz z 18.10.2024 r.).</w:t>
      </w:r>
    </w:p>
    <w:p>
      <w:r>
        <w:pict>
          <v:rect style="width:0;height:1.5pt" o:hralign="center" o:hrstd="t" o:hr="t"/>
        </w:pic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2026-10-05T19:14:26Z</dcterms:created>
  <dcterms:modified xsi:type="dcterms:W3CDTF">2026-10-05T19:14:26Z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