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8" w:name="sprawa-042-rozwiązanie-casebox"/>
    <w:p>
      <w:pPr>
        <w:pStyle w:val="Heading1"/>
      </w:pPr>
      <w:r>
        <w:t xml:space="preserve">Sprawa 042 — rozwiązanie CaseBox</w:t>
      </w:r>
    </w:p>
    <w:bookmarkStart w:id="9" w:name="część-ii.-rozwiązanie-case-project-api"/>
    <w:p>
      <w:pPr>
        <w:pStyle w:val="Heading2"/>
      </w:pPr>
      <w:r>
        <w:t xml:space="preserve">CZĘŚĆ II. ROZWIĄZANIE (Case Project API)</w:t>
      </w:r>
    </w:p>
    <w:p>
      <w:pPr>
        <w:pStyle w:val="FirstParagraph"/>
      </w:pPr>
      <w:r>
        <w:t xml:space="preserve">Szanowni Państwo,</w:t>
      </w:r>
    </w:p>
    <w:p>
      <w:pPr>
        <w:pStyle w:val="BodyText"/>
      </w:pPr>
      <w:r>
        <w:t xml:space="preserve">Poniżej przedstawiamy kompleksową analizę Państwa sprawy, obejmującą opinię prawną, ocenę roszczeń, rejestr ryzyk i szans, projekty pism oraz instrukcję kolejnych kroków.</w:t>
      </w:r>
    </w:p>
    <w:bookmarkEnd w:id="9"/>
    <w:bookmarkStart w:id="10" w:name="podsumowanie-sprawy"/>
    <w:p>
      <w:pPr>
        <w:pStyle w:val="Heading2"/>
      </w:pPr>
      <w:r>
        <w:t xml:space="preserve">Podsumowanie sprawy</w:t>
      </w:r>
    </w:p>
    <w:p>
      <w:pPr>
        <w:pStyle w:val="FirstParagraph"/>
      </w:pPr>
      <w:r>
        <w:t xml:space="preserve">Sprawa dotyczy sporu wynikającego z Umowy Dzierżawy nr DZ/███/████, zawartej 15 lutego 2023 r., pomiędzy PV-O. sp. z o.o. (dzierżawca, Klient) a Panią Marią M. K. (wydzierżawiająca). Przedmiotem umowy była dzierżawa działki ewidencyjnej nr 45/3 o powierzchni 8,12 ha w Miłocicach pod budowę i eksploatację farmy fotowoltaicznej. Inwestycja o wartości około 4,2 mln zł netto została zrealizowana do 30 listopada 2023 r. Spór powstał na tle rzekomych zaległości czynszowych oraz zarzutu braku ważnego pozwolenia budowlanego. Wydzierżawiająca, M. K., złożyła 15 marca 2024 r. oświadczenie o odstąpieniu od umowy ze skutkiem na 15 kwietnia 2024 r., żądając demontażu instalacji PV, przywrócenia terenu do stanu pierwotnego oraz odszkodowania w wysokości 150 000,00 zł netto. Klient kwestionuje ważność odstąpienia, podnosząc, że umowa jest wiążąca, a wszelkie wymagane dokumenty administracyjne zostały dopełnione. Obecny stan sporu na dzień 1 października 2025 r. wskazuje na brak polubownego rozwiązania [Źródło 1].</w:t>
      </w:r>
    </w:p>
    <w:bookmarkEnd w:id="10"/>
    <w:bookmarkStart w:id="11" w:name="kluczowe-dane"/>
    <w:p>
      <w:pPr>
        <w:pStyle w:val="Heading2"/>
      </w:pPr>
      <w:r>
        <w:t xml:space="preserve">Kluczowe dane</w:t>
      </w:r>
    </w:p>
    <w:p>
      <w:pPr>
        <w:pStyle w:val="Compact"/>
        <w:numPr>
          <w:ilvl w:val="0"/>
          <w:numId w:val="1001"/>
        </w:numPr>
      </w:pPr>
      <w:r>
        <w:rPr>
          <w:b/>
          <w:bCs/>
        </w:rPr>
        <w:t xml:space="preserve">Dzierżawca (Klient):</w:t>
      </w:r>
      <w:r>
        <w:t xml:space="preserve"> </w:t>
      </w:r>
      <w:r>
        <w:t xml:space="preserve">PV-O. sp. z o.o. [Źródło 1]</w:t>
      </w:r>
    </w:p>
    <w:p>
      <w:pPr>
        <w:pStyle w:val="Compact"/>
        <w:numPr>
          <w:ilvl w:val="0"/>
          <w:numId w:val="1001"/>
        </w:numPr>
      </w:pPr>
      <w:r>
        <w:rPr>
          <w:b/>
          <w:bCs/>
        </w:rPr>
        <w:t xml:space="preserve">Wydzierżawiająca:</w:t>
      </w:r>
      <w:r>
        <w:t xml:space="preserve"> </w:t>
      </w:r>
      <w:r>
        <w:t xml:space="preserve">M. K. [Źródło 1]</w:t>
      </w:r>
    </w:p>
    <w:p>
      <w:pPr>
        <w:pStyle w:val="Compact"/>
        <w:numPr>
          <w:ilvl w:val="0"/>
          <w:numId w:val="1001"/>
        </w:numPr>
      </w:pPr>
      <w:r>
        <w:rPr>
          <w:b/>
          <w:bCs/>
        </w:rPr>
        <w:t xml:space="preserve">Umowa:</w:t>
      </w:r>
      <w:r>
        <w:t xml:space="preserve"> </w:t>
      </w:r>
      <w:r>
        <w:t xml:space="preserve">Umowa Dzierżawy nr DZ/███/████ [Źródło 1]</w:t>
      </w:r>
    </w:p>
    <w:p>
      <w:pPr>
        <w:pStyle w:val="Compact"/>
        <w:numPr>
          <w:ilvl w:val="0"/>
          <w:numId w:val="1001"/>
        </w:numPr>
      </w:pPr>
      <w:r>
        <w:rPr>
          <w:b/>
          <w:bCs/>
        </w:rPr>
        <w:t xml:space="preserve">Data zawarcia umowy:</w:t>
      </w:r>
      <w:r>
        <w:t xml:space="preserve"> </w:t>
      </w:r>
      <w:r>
        <w:t xml:space="preserve">15 lutego 2023 r. [Źródło 1]</w:t>
      </w:r>
    </w:p>
    <w:p>
      <w:pPr>
        <w:pStyle w:val="Compact"/>
        <w:numPr>
          <w:ilvl w:val="0"/>
          <w:numId w:val="1001"/>
        </w:numPr>
      </w:pPr>
      <w:r>
        <w:rPr>
          <w:b/>
          <w:bCs/>
        </w:rPr>
        <w:t xml:space="preserve">Okres dzierżawy:</w:t>
      </w:r>
      <w:r>
        <w:t xml:space="preserve"> </w:t>
      </w:r>
      <w:r>
        <w:t xml:space="preserve">25 lat, od 1 marca 2023 r. do 28 lutego 2048 r. [Źródło 1]</w:t>
      </w:r>
    </w:p>
    <w:p>
      <w:pPr>
        <w:pStyle w:val="Compact"/>
        <w:numPr>
          <w:ilvl w:val="0"/>
          <w:numId w:val="1001"/>
        </w:numPr>
      </w:pPr>
      <w:r>
        <w:rPr>
          <w:b/>
          <w:bCs/>
        </w:rPr>
        <w:t xml:space="preserve">Przedmiot dzierżawy:</w:t>
      </w:r>
      <w:r>
        <w:t xml:space="preserve"> </w:t>
      </w:r>
      <w:r>
        <w:t xml:space="preserve">Działka ewidencyjna nr 45/3 o powierzchni 8,12 ha w Miłocicach (KW ████/████████/█) [Źródło 1]</w:t>
      </w:r>
    </w:p>
    <w:p>
      <w:pPr>
        <w:pStyle w:val="Compact"/>
        <w:numPr>
          <w:ilvl w:val="0"/>
          <w:numId w:val="1001"/>
        </w:numPr>
      </w:pPr>
      <w:r>
        <w:rPr>
          <w:b/>
          <w:bCs/>
        </w:rPr>
        <w:t xml:space="preserve">Wartość inwestycji PV:</w:t>
      </w:r>
      <w:r>
        <w:t xml:space="preserve"> </w:t>
      </w:r>
      <w:r>
        <w:t xml:space="preserve">ok. 4,2 mln zł netto [Źródło 1]</w:t>
      </w:r>
    </w:p>
    <w:p>
      <w:pPr>
        <w:pStyle w:val="Compact"/>
        <w:numPr>
          <w:ilvl w:val="0"/>
          <w:numId w:val="1001"/>
        </w:numPr>
      </w:pPr>
      <w:r>
        <w:rPr>
          <w:b/>
          <w:bCs/>
        </w:rPr>
        <w:t xml:space="preserve">Termin zakończenia instalacji PV:</w:t>
      </w:r>
      <w:r>
        <w:t xml:space="preserve"> </w:t>
      </w:r>
      <w:r>
        <w:t xml:space="preserve">30 listopada 2023 r. [Źródło 1]</w:t>
      </w:r>
    </w:p>
    <w:p>
      <w:pPr>
        <w:pStyle w:val="Compact"/>
        <w:numPr>
          <w:ilvl w:val="0"/>
          <w:numId w:val="1001"/>
        </w:numPr>
      </w:pPr>
      <w:r>
        <w:rPr>
          <w:b/>
          <w:bCs/>
        </w:rPr>
        <w:t xml:space="preserve">Czynsz roczny:</w:t>
      </w:r>
      <w:r>
        <w:t xml:space="preserve"> </w:t>
      </w:r>
      <w:r>
        <w:t xml:space="preserve">120 000,00 zł brutto [Źródło 1]</w:t>
      </w:r>
    </w:p>
    <w:p>
      <w:pPr>
        <w:pStyle w:val="Compact"/>
        <w:numPr>
          <w:ilvl w:val="0"/>
          <w:numId w:val="1001"/>
        </w:numPr>
      </w:pPr>
      <w:r>
        <w:rPr>
          <w:b/>
          <w:bCs/>
        </w:rPr>
        <w:t xml:space="preserve">Raty czynszu:</w:t>
      </w:r>
      <w:r>
        <w:t xml:space="preserve"> </w:t>
      </w:r>
      <w:r>
        <w:t xml:space="preserve">Dwie półroczne raty po 60 000,00 zł brutto [Źródło 1]</w:t>
      </w:r>
    </w:p>
    <w:p>
      <w:pPr>
        <w:pStyle w:val="Compact"/>
        <w:numPr>
          <w:ilvl w:val="0"/>
          <w:numId w:val="1001"/>
        </w:numPr>
      </w:pPr>
      <w:r>
        <w:rPr>
          <w:b/>
          <w:bCs/>
        </w:rPr>
        <w:t xml:space="preserve">Kara umowna za opóźnienie w płatności czynszu:</w:t>
      </w:r>
      <w:r>
        <w:t xml:space="preserve"> </w:t>
      </w:r>
      <w:r>
        <w:t xml:space="preserve">0,05% za każdy dzień opóźnienia (§4.6 Umowy Dzierżawy) [Źródło 1]</w:t>
      </w:r>
    </w:p>
    <w:p>
      <w:pPr>
        <w:pStyle w:val="Compact"/>
        <w:numPr>
          <w:ilvl w:val="0"/>
          <w:numId w:val="1001"/>
        </w:numPr>
      </w:pPr>
      <w:r>
        <w:rPr>
          <w:b/>
          <w:bCs/>
        </w:rPr>
        <w:t xml:space="preserve">Wpłacony czynsz za pierwszy rok:</w:t>
      </w:r>
      <w:r>
        <w:t xml:space="preserve"> </w:t>
      </w:r>
      <w:r>
        <w:t xml:space="preserve">90 000,00 zł brutto [Źródło 1]</w:t>
      </w:r>
    </w:p>
    <w:p>
      <w:pPr>
        <w:pStyle w:val="Compact"/>
        <w:numPr>
          <w:ilvl w:val="0"/>
          <w:numId w:val="1001"/>
        </w:numPr>
      </w:pPr>
      <w:r>
        <w:rPr>
          <w:b/>
          <w:bCs/>
        </w:rPr>
        <w:t xml:space="preserve">Zaległość czynszowa (według Wydzierżawiającej):</w:t>
      </w:r>
      <w:r>
        <w:t xml:space="preserve"> </w:t>
      </w:r>
      <w:r>
        <w:t xml:space="preserve">30 000,00 zł brutto [Źródło 1]</w:t>
      </w:r>
    </w:p>
    <w:p>
      <w:pPr>
        <w:pStyle w:val="Compact"/>
        <w:numPr>
          <w:ilvl w:val="0"/>
          <w:numId w:val="1001"/>
        </w:numPr>
      </w:pPr>
      <w:r>
        <w:rPr>
          <w:b/>
          <w:bCs/>
        </w:rPr>
        <w:t xml:space="preserve">Wezwanie do zapłaty zaległego czynszu:</w:t>
      </w:r>
      <w:r>
        <w:t xml:space="preserve"> </w:t>
      </w:r>
      <w:r>
        <w:t xml:space="preserve">styczeń 2024 r. [Źródło 1]</w:t>
      </w:r>
    </w:p>
    <w:p>
      <w:pPr>
        <w:pStyle w:val="Compact"/>
        <w:numPr>
          <w:ilvl w:val="0"/>
          <w:numId w:val="1001"/>
        </w:numPr>
      </w:pPr>
      <w:r>
        <w:rPr>
          <w:b/>
          <w:bCs/>
        </w:rPr>
        <w:t xml:space="preserve">Decyzja o warunkach zabudowy (WZ):</w:t>
      </w:r>
      <w:r>
        <w:t xml:space="preserve"> </w:t>
      </w:r>
      <w:r>
        <w:t xml:space="preserve">10 lutego 2023 r. [Źródło 1]</w:t>
      </w:r>
    </w:p>
    <w:p>
      <w:pPr>
        <w:pStyle w:val="Compact"/>
        <w:numPr>
          <w:ilvl w:val="0"/>
          <w:numId w:val="1001"/>
        </w:numPr>
      </w:pPr>
      <w:r>
        <w:rPr>
          <w:b/>
          <w:bCs/>
        </w:rPr>
        <w:t xml:space="preserve">Zgłoszenie robót budowlanych:</w:t>
      </w:r>
      <w:r>
        <w:t xml:space="preserve"> </w:t>
      </w:r>
      <w:r>
        <w:t xml:space="preserve">25 lutego 2023 r. [Źródło 1]</w:t>
      </w:r>
    </w:p>
    <w:p>
      <w:pPr>
        <w:pStyle w:val="Compact"/>
        <w:numPr>
          <w:ilvl w:val="0"/>
          <w:numId w:val="1001"/>
        </w:numPr>
      </w:pPr>
      <w:r>
        <w:rPr>
          <w:b/>
          <w:bCs/>
        </w:rPr>
        <w:t xml:space="preserve">Oświadczenie o odstąpieniu od umowy Wydzierżawiającej:</w:t>
      </w:r>
      <w:r>
        <w:t xml:space="preserve"> </w:t>
      </w:r>
      <w:r>
        <w:t xml:space="preserve">15 marca 2024 r. [Źródło 1]</w:t>
      </w:r>
    </w:p>
    <w:p>
      <w:pPr>
        <w:pStyle w:val="Compact"/>
        <w:numPr>
          <w:ilvl w:val="0"/>
          <w:numId w:val="1001"/>
        </w:numPr>
      </w:pPr>
      <w:r>
        <w:rPr>
          <w:b/>
          <w:bCs/>
        </w:rPr>
        <w:t xml:space="preserve">Data, od której odstąpienie miało odnieść skutek:</w:t>
      </w:r>
      <w:r>
        <w:t xml:space="preserve"> </w:t>
      </w:r>
      <w:r>
        <w:t xml:space="preserve">15 kwietnia 2024 r. [Źródło 1]</w:t>
      </w:r>
    </w:p>
    <w:p>
      <w:pPr>
        <w:pStyle w:val="Compact"/>
        <w:numPr>
          <w:ilvl w:val="0"/>
          <w:numId w:val="1001"/>
        </w:numPr>
      </w:pPr>
      <w:r>
        <w:rPr>
          <w:b/>
          <w:bCs/>
        </w:rPr>
        <w:t xml:space="preserve">Roszczenie odszkodowawcze Wydzierżawiającej:</w:t>
      </w:r>
      <w:r>
        <w:t xml:space="preserve"> </w:t>
      </w:r>
      <w:r>
        <w:t xml:space="preserve">150 000,00 zł netto za szkody w gruncie i utratę wartości rolnej [Źródło 1]</w:t>
      </w:r>
    </w:p>
    <w:p>
      <w:pPr>
        <w:pStyle w:val="Compact"/>
        <w:numPr>
          <w:ilvl w:val="0"/>
          <w:numId w:val="1001"/>
        </w:numPr>
      </w:pPr>
      <w:r>
        <w:rPr>
          <w:b/>
          <w:bCs/>
        </w:rPr>
        <w:t xml:space="preserve">Termin płatności pierwszej raty czynszu:</w:t>
      </w:r>
      <w:r>
        <w:t xml:space="preserve"> </w:t>
      </w:r>
      <w:r>
        <w:t xml:space="preserve">15 marca 2023 r. (60 000,00 zł) [Źródło 2]</w:t>
      </w:r>
    </w:p>
    <w:p>
      <w:pPr>
        <w:pStyle w:val="Compact"/>
        <w:numPr>
          <w:ilvl w:val="0"/>
          <w:numId w:val="1001"/>
        </w:numPr>
      </w:pPr>
      <w:r>
        <w:rPr>
          <w:b/>
          <w:bCs/>
        </w:rPr>
        <w:t xml:space="preserve">Termin płatności drugiej raty czynszu:</w:t>
      </w:r>
      <w:r>
        <w:t xml:space="preserve"> </w:t>
      </w:r>
      <w:r>
        <w:t xml:space="preserve">15 września 2023 r. (60 000,00 zł) [Źródło 2]</w:t>
      </w:r>
    </w:p>
    <w:p>
      <w:pPr>
        <w:pStyle w:val="Compact"/>
        <w:numPr>
          <w:ilvl w:val="0"/>
          <w:numId w:val="1001"/>
        </w:numPr>
      </w:pPr>
      <w:r>
        <w:rPr>
          <w:b/>
          <w:bCs/>
        </w:rPr>
        <w:t xml:space="preserve">Data dopłaty czynszu:</w:t>
      </w:r>
      <w:r>
        <w:t xml:space="preserve"> </w:t>
      </w:r>
      <w:r>
        <w:t xml:space="preserve">30 marca 2024 r. (30 000,00 zł) [Źródło 2]</w:t>
      </w:r>
    </w:p>
    <w:p>
      <w:pPr>
        <w:pStyle w:val="Compact"/>
        <w:numPr>
          <w:ilvl w:val="0"/>
          <w:numId w:val="1001"/>
        </w:numPr>
      </w:pPr>
      <w:r>
        <w:rPr>
          <w:b/>
          <w:bCs/>
        </w:rPr>
        <w:t xml:space="preserve">Obowiązek polubownego rozwiązania sporu:</w:t>
      </w:r>
      <w:r>
        <w:t xml:space="preserve"> </w:t>
      </w:r>
      <w:r>
        <w:t xml:space="preserve">§10.3 Umowy Dzierżawy [Źródło 1]</w:t>
      </w:r>
    </w:p>
    <w:bookmarkEnd w:id="11"/>
    <w:bookmarkStart w:id="15" w:name="opinia-prawna"/>
    <w:p>
      <w:pPr>
        <w:pStyle w:val="Heading2"/>
      </w:pPr>
      <w:r>
        <w:t xml:space="preserve">Opinia prawna</w:t>
      </w:r>
    </w:p>
    <w:bookmarkStart w:id="12" w:name="kwalifikacja-prawna-stanu-faktycznego"/>
    <w:p>
      <w:pPr>
        <w:pStyle w:val="Heading3"/>
      </w:pPr>
      <w:r>
        <w:t xml:space="preserve">Kwalifikacja prawna stanu faktycznego</w:t>
      </w:r>
    </w:p>
    <w:p>
      <w:pPr>
        <w:pStyle w:val="FirstParagraph"/>
      </w:pPr>
      <w:r>
        <w:t xml:space="preserve">Stan faktyczny sprowadza się do próby jednostronnego odstąpienia od umowy dzierżawy przez Wydzierżawiającą, powołującą się na rzekome naruszenia umowy przez Dzierżawcę. Działania Wydzierżawiającej budzą poważne wątpliwości co do ich skuteczności prawnej. Klient kwestionuje istnienie zaległości czynszowych w momencie złożenia oświadczenia o odstąpieniu oraz skuteczność zarzutu braku pozwolenia budowlanego. W ocenie Kancelarii umowa dzierżawy pozostaje w mocy, a działanie Wydzierżawiającej może być uznane za bezpodstawne i rodzące roszczenia odszkodowawcze na rzecz Dzierżawcy.</w:t>
      </w:r>
    </w:p>
    <w:bookmarkEnd w:id="12"/>
    <w:bookmarkStart w:id="13" w:name="Xfb14db3cab2af5db11c196e441f8416d3dad3d0"/>
    <w:p>
      <w:pPr>
        <w:pStyle w:val="Heading3"/>
      </w:pPr>
      <w:r>
        <w:t xml:space="preserve">Ocena ważności/skuteczności kluczowych postanowień umowy i czynności stron</w:t>
      </w:r>
    </w:p>
    <w:p>
      <w:pPr>
        <w:pStyle w:val="Compact"/>
        <w:numPr>
          <w:ilvl w:val="0"/>
          <w:numId w:val="1002"/>
        </w:numPr>
      </w:pPr>
      <w:r>
        <w:rPr>
          <w:b/>
          <w:bCs/>
        </w:rPr>
        <w:t xml:space="preserve">Umowa Dzierżawy (nr DZ/███/████):</w:t>
      </w:r>
      <w:r>
        <w:t xml:space="preserve"> </w:t>
      </w:r>
      <w:r>
        <w:t xml:space="preserve">Jest to umowa nazwana, uregulowana w Kodeksie cywilnym (art. 693-709 KC), o charakterze konsensualnym i dwustronnie zobowiązującym. Zgodnie z zasadą swobody umów (art. 353¹ KC), strony mogły ukształtować jej treść, o ile nie sprzeciwia się to ustawie, naturze stosunku prawnego czy zasadom współżycia społecznego. Postanowienia dotyczące czynszu, kar umownych (§4.6) i warunków rozwiązania (§10) są standardowe i zasadniczo skuteczne, o ile zastosowano je prawidłowo [Źródło 1].</w:t>
      </w:r>
    </w:p>
    <w:p>
      <w:pPr>
        <w:pStyle w:val="Compact"/>
        <w:numPr>
          <w:ilvl w:val="0"/>
          <w:numId w:val="1002"/>
        </w:numPr>
      </w:pPr>
      <w:r>
        <w:rPr>
          <w:b/>
          <w:bCs/>
        </w:rPr>
        <w:t xml:space="preserve">Zaległości czynszowe:</w:t>
      </w:r>
    </w:p>
    <w:p>
      <w:pPr>
        <w:pStyle w:val="Compact"/>
        <w:numPr>
          <w:ilvl w:val="1"/>
          <w:numId w:val="1003"/>
        </w:numPr>
      </w:pPr>
      <w:r>
        <w:t xml:space="preserve">Czynsz roczny wynosi 120 000,00 zł brutto, płatny w dwóch ratach półrocznych po 60 000,00 zł brutto. Pierwsza rata powinna być płatna 15.03.2023, druga 15.09.2023 [Źródło 1, Źródło 2].</w:t>
      </w:r>
    </w:p>
    <w:p>
      <w:pPr>
        <w:pStyle w:val="Compact"/>
        <w:numPr>
          <w:ilvl w:val="1"/>
          <w:numId w:val="1003"/>
        </w:numPr>
      </w:pPr>
      <w:r>
        <w:t xml:space="preserve">Klient wpłacił 90 000,00 zł brutto za pierwszy rok (60 000,00 zł na 15.03.2023 i 30 000,00 zł na 15.09.2023). Pozostałe 30 000,00 zł z drugiej raty zostało zapłacone 30.03.2024 [Źródło 1, Źródło 2].</w:t>
      </w:r>
    </w:p>
    <w:p>
      <w:pPr>
        <w:pStyle w:val="Compact"/>
        <w:numPr>
          <w:ilvl w:val="1"/>
          <w:numId w:val="1003"/>
        </w:numPr>
      </w:pPr>
      <w:r>
        <w:t xml:space="preserve">Wydzierżawiająca wezwała do zapłaty w styczniu 2024 r. [Źródło 1]. Oświadczenie o odstąpieniu złożyła 15.03.2024 [Źródło 1].</w:t>
      </w:r>
    </w:p>
    <w:p>
      <w:pPr>
        <w:pStyle w:val="Compact"/>
        <w:numPr>
          <w:ilvl w:val="1"/>
          <w:numId w:val="1003"/>
        </w:numPr>
      </w:pPr>
      <w:r>
        <w:t xml:space="preserve">W momencie złożenia oświadczenia o odstąpieniu (15.03.2024), zaległość 30 000,00 zł brutto istniała od 15.09.2023, czyli przekraczała 90 dni (od 15.09.2023 do 15.03.2024 to 6 miesięcy).</w:t>
      </w:r>
    </w:p>
    <w:p>
      <w:pPr>
        <w:pStyle w:val="Compact"/>
        <w:numPr>
          <w:ilvl w:val="1"/>
          <w:numId w:val="1003"/>
        </w:numPr>
      </w:pPr>
      <w:r>
        <w:t xml:space="preserve">Kluczowe jest, czy wezwanie do zapłaty z stycznia 2024 r. spełniało wymogi przewidziane w umowie dla skutecznego odstąpienia z powodu zaległości czynszowych, tj. czy było to 30-dniowe wezwanie do zapłaty poprzedzające odstąpienie. Jeśli tak, to Wydzierżawiająca miała podstawy do odstąpienia z tego powodu.</w:t>
      </w:r>
    </w:p>
    <w:p>
      <w:pPr>
        <w:pStyle w:val="Compact"/>
        <w:numPr>
          <w:ilvl w:val="0"/>
          <w:numId w:val="1002"/>
        </w:numPr>
      </w:pPr>
      <w:r>
        <w:rPr>
          <w:b/>
          <w:bCs/>
        </w:rPr>
        <w:t xml:space="preserve">Kwestie administracyjne (pozwolenie budowlane):</w:t>
      </w:r>
    </w:p>
    <w:p>
      <w:pPr>
        <w:pStyle w:val="Compact"/>
        <w:numPr>
          <w:ilvl w:val="1"/>
          <w:numId w:val="1004"/>
        </w:numPr>
      </w:pPr>
      <w:r>
        <w:t xml:space="preserve">Klient posiada decyzję o warunkach zabudowy (WZ) z 10.02.2023 r. oraz zgłoszenie robót budowlanych z 25.02.2023 r. [Źródło 1].</w:t>
      </w:r>
    </w:p>
    <w:p>
      <w:pPr>
        <w:pStyle w:val="Compact"/>
        <w:numPr>
          <w:ilvl w:val="1"/>
          <w:numId w:val="1004"/>
        </w:numPr>
      </w:pPr>
      <w:r>
        <w:t xml:space="preserve">W kazusie nie ma dosłownego brzmienia przepisów Prawa budowlanego ani Ustawy o OZE, więc nie możemy przesądzić, czy dla tej konkretnej inwestycji PV wystarczające było zgłoszenie robót, czy wymagane było pozwolenie na budowę. Jednakże, posiadanie WZ i zgłoszenia sugeruje dopełnienie pewnych obowiązków administracyjnych, co Klient potwierdza (§8 Umowy Dzierżawy) [Źródło 1].</w:t>
      </w:r>
    </w:p>
    <w:p>
      <w:pPr>
        <w:pStyle w:val="Compact"/>
        <w:numPr>
          <w:ilvl w:val="1"/>
          <w:numId w:val="1004"/>
        </w:numPr>
      </w:pPr>
      <w:r>
        <w:t xml:space="preserve">Brak</w:t>
      </w:r>
      <w:r>
        <w:t xml:space="preserve"> </w:t>
      </w:r>
      <w:r>
        <w:t xml:space="preserve">“ostatecznej decyzji pozwolenia budowlanego”</w:t>
      </w:r>
      <w:r>
        <w:t xml:space="preserve"> </w:t>
      </w:r>
      <w:r>
        <w:t xml:space="preserve">niekoniecznie oznacza</w:t>
      </w:r>
      <w:r>
        <w:t xml:space="preserve"> </w:t>
      </w:r>
      <w:r>
        <w:t xml:space="preserve">“rażące naruszenie”</w:t>
      </w:r>
      <w:r>
        <w:t xml:space="preserve">, jeśli zgłoszenie było wystarczające lub inwestycja mieściła się w ramach przepisów. Konieczne jest zweryfikowanie statusu prawnego budowy farm PV w dacie inwestycji.</w:t>
      </w:r>
    </w:p>
    <w:p>
      <w:pPr>
        <w:pStyle w:val="Compact"/>
        <w:numPr>
          <w:ilvl w:val="1"/>
          <w:numId w:val="1004"/>
        </w:numPr>
      </w:pPr>
      <w:r>
        <w:t xml:space="preserve">§8.2 umowy mógł uprawniać Wydzierżawiającą do żądania kopii dokumentów. Niewydanie kopii w terminie mogłoby stanowić naruszenie umowy, ale wątpliwe jest, czy od razu kwalifikowałoby się jako</w:t>
      </w:r>
      <w:r>
        <w:t xml:space="preserve"> </w:t>
      </w:r>
      <w:r>
        <w:t xml:space="preserve">“rażące naruszenie”</w:t>
      </w:r>
      <w:r>
        <w:t xml:space="preserve"> </w:t>
      </w:r>
      <w:r>
        <w:t xml:space="preserve">uprawniające do natychmiastowego rozwiązania umowy, zwłaszcza bez uprzedniego 30-dniowego wezwania do usunięcia naruszeń, jak przewiduje umowa (§10.3) [Źródło 1].</w:t>
      </w:r>
    </w:p>
    <w:bookmarkEnd w:id="13"/>
    <w:bookmarkStart w:id="14" w:name="zastosowanie-właściwych-przepisów"/>
    <w:p>
      <w:pPr>
        <w:pStyle w:val="Heading3"/>
      </w:pPr>
      <w:r>
        <w:t xml:space="preserve">Zastosowanie właściwych przepisów</w:t>
      </w:r>
    </w:p>
    <w:p>
      <w:pPr>
        <w:pStyle w:val="Compact"/>
        <w:numPr>
          <w:ilvl w:val="0"/>
          <w:numId w:val="1005"/>
        </w:numPr>
      </w:pPr>
      <w:r>
        <w:rPr>
          <w:b/>
          <w:bCs/>
        </w:rPr>
        <w:t xml:space="preserve">Kodeks cywilny (KC):</w:t>
      </w:r>
    </w:p>
    <w:p>
      <w:pPr>
        <w:pStyle w:val="Compact"/>
        <w:numPr>
          <w:ilvl w:val="1"/>
          <w:numId w:val="1006"/>
        </w:numPr>
      </w:pPr>
      <w:r>
        <w:rPr>
          <w:b/>
          <w:bCs/>
        </w:rPr>
        <w:t xml:space="preserve">Art. 353¹ KC (Zasada swobody umów):</w:t>
      </w:r>
      <w:r>
        <w:t xml:space="preserve"> </w:t>
      </w:r>
      <w:r>
        <w:t xml:space="preserve">Umożliwia stronom swobodne kształtowanie stosunku prawnego, o ile jego treść lub cel nie sprzeciwiają się właściwości (naturze) stosunku, ustawie ani zasadom współżycia społecznego. Umowa dzierżawy jako taka jest zgodna z tą zasadą.</w:t>
      </w:r>
    </w:p>
    <w:p>
      <w:pPr>
        <w:pStyle w:val="Compact"/>
        <w:numPr>
          <w:ilvl w:val="1"/>
          <w:numId w:val="1006"/>
        </w:numPr>
      </w:pPr>
      <w:r>
        <w:rPr>
          <w:b/>
          <w:bCs/>
        </w:rPr>
        <w:t xml:space="preserve">Art. 693-709 KC (Dzierżawa):</w:t>
      </w:r>
      <w:r>
        <w:t xml:space="preserve"> </w:t>
      </w:r>
      <w:r>
        <w:t xml:space="preserve">Regulują umowę dzierżawy. Art. 703 KC stanowi, że jeżeli dzierżawca dopuszcza się zwłoki z zapłatą czynszu za dwa pełne okresy płatności, a w wypadku gdy czynsz jest płatny rocznie, jeżeli dopuszcza się zwłoki z zapłatą ponad trzy miesiące, wydzierżawiający może dzierżawę wypowiedzieć bez zachowania terminu wypowiedzenia, uprzedzając dzierżawcę o zamiarze wypowiedzenia i udzielając mu dodatkowego trzymiesięcznego terminu do zapłaty zaległego czynszu.</w:t>
      </w:r>
    </w:p>
    <w:p>
      <w:pPr>
        <w:pStyle w:val="Compact"/>
        <w:numPr>
          <w:ilvl w:val="1"/>
          <w:numId w:val="1006"/>
        </w:numPr>
      </w:pPr>
      <w:r>
        <w:t xml:space="preserve">W niniejszej sprawie, umowa przewiduje możliwość rozwiązania ze skutkiem natychmiastowym w przypadku zaległości przekraczających 90 dni, po uprzednim 30-dniowym wezwaniu [Źródło 1]. Jest to mniej restrykcyjne dla dzierżawcy niż Art. 703 KC, co może być uznane za zgodne z zasadą swobody umów, o ile nie narusza zasad współżycia społecznego.</w:t>
      </w:r>
    </w:p>
    <w:p>
      <w:pPr>
        <w:pStyle w:val="Compact"/>
        <w:numPr>
          <w:ilvl w:val="1"/>
          <w:numId w:val="1006"/>
        </w:numPr>
      </w:pPr>
      <w:r>
        <w:rPr>
          <w:b/>
          <w:bCs/>
        </w:rPr>
        <w:t xml:space="preserve">Art. 415 KC (Odpowiedzialność deliktowa):</w:t>
      </w:r>
      <w:r>
        <w:t xml:space="preserve"> </w:t>
      </w:r>
      <w:r>
        <w:t xml:space="preserve">Jeżeli działanie Wydzierżawiającej okaże się bezprawne (bezpodstawne odstąpienie od umowy), Dzierżawca może dochodzić odszkodowania na podstawie tego przepisu lub, co bardziej prawdopodobne, na zasadach odpowiedzialności kontraktowej (art. 471 KC), jeśli uznamy, że odstąpienie jest nieskuteczne i umowa nadal obowiązuje, a Wydzierżawiająca swoim działaniem uniemożliwiła lub utrudniła Dzierżawcy wykonywanie umowy.</w:t>
      </w:r>
    </w:p>
    <w:p>
      <w:pPr>
        <w:pStyle w:val="Compact"/>
        <w:numPr>
          <w:ilvl w:val="1"/>
          <w:numId w:val="1006"/>
        </w:numPr>
      </w:pPr>
      <w:r>
        <w:rPr>
          <w:b/>
          <w:bCs/>
        </w:rPr>
        <w:t xml:space="preserve">Art. 471 KC (Odpowiedzialność kontraktowa):</w:t>
      </w:r>
      <w:r>
        <w:t xml:space="preserve"> </w:t>
      </w:r>
      <w:r>
        <w:t xml:space="preserve">Dłużnik obowiązany jest do naprawienia szkody wynikłej z niewykonania lub nienależytego wykonania zobowiązania, chyba że niewykonanie lub nienależyte wykonanie jest następstwem okoliczności, za które dłużnik odpowiedzialności nie ponosi. W przypadku bezpodstawnego odstąpienia od umowy, które spowodowało szkodę po stronie Dzierżawcy, Klient może dochodzić odszkodowania na tej podstawie.</w:t>
      </w:r>
    </w:p>
    <w:p>
      <w:pPr>
        <w:pStyle w:val="Compact"/>
        <w:numPr>
          <w:ilvl w:val="1"/>
          <w:numId w:val="1006"/>
        </w:numPr>
      </w:pPr>
      <w:r>
        <w:rPr>
          <w:b/>
          <w:bCs/>
        </w:rPr>
        <w:t xml:space="preserve">Art. 117 i nast. KC (Przedawnienie roszczeń):</w:t>
      </w:r>
      <w:r>
        <w:t xml:space="preserve"> </w:t>
      </w:r>
      <w:r>
        <w:t xml:space="preserve">Ogólny termin przedawnienia dla roszczeń majątkowych wynosi sześć lat, a dla roszczeń o świadczenia okresowe (jak czynsz) – trzy lata.</w:t>
      </w:r>
    </w:p>
    <w:p>
      <w:pPr>
        <w:pStyle w:val="Compact"/>
        <w:numPr>
          <w:ilvl w:val="0"/>
          <w:numId w:val="1005"/>
        </w:numPr>
      </w:pPr>
      <w:r>
        <w:rPr>
          <w:b/>
          <w:bCs/>
        </w:rPr>
        <w:t xml:space="preserve">Kodeks postępowania cywilnego (KPC):</w:t>
      </w:r>
    </w:p>
    <w:p>
      <w:pPr>
        <w:pStyle w:val="Compact"/>
        <w:numPr>
          <w:ilvl w:val="1"/>
          <w:numId w:val="1007"/>
        </w:numPr>
      </w:pPr>
      <w:r>
        <w:rPr>
          <w:b/>
          <w:bCs/>
        </w:rPr>
        <w:t xml:space="preserve">Art. 6 KPC i Art. 232 KPC (Ciężar dowodu):</w:t>
      </w:r>
      <w:r>
        <w:t xml:space="preserve"> </w:t>
      </w:r>
      <w:r>
        <w:t xml:space="preserve">Ciężar udowodnienia faktu spoczywa na osobie, która z faktu tego wywodzi skutki prawne [Kodeks cywilny Art. 6.]. W sprawach cywilnych strony są obowiązane wskazywać dowody dla stwierdzenia faktów, z których wywodzą skutki prawne [Źródło 7, Źródło 15, Źródło 16, Źródło 17]. To oznacza, że Wydzierżawiająca musi udowodnić istnienie zaległości czynszowych i rażącego naruszenia umowy, a także istnienie i wysokość szkody, o której mówi [Źródło 7, Źródło 15, Źródło 17]. Klient musi udowodnić bezpodstawność odstąpienia i własne roszczenia.</w:t>
      </w:r>
    </w:p>
    <w:bookmarkEnd w:id="14"/>
    <w:bookmarkEnd w:id="15"/>
    <w:bookmarkStart w:id="40" w:name="Xbe5410fce4dc2a615cc76fe9b108b31f04c4b66"/>
    <w:p>
      <w:pPr>
        <w:pStyle w:val="Heading2"/>
      </w:pPr>
      <w:r>
        <w:t xml:space="preserve">Odpowiedź na wszystkie zagadnienia z części III kazusu</w:t>
      </w:r>
    </w:p>
    <w:bookmarkStart w:id="18" w:name="ocena-ważności-odstąpienia-od-umowy"/>
    <w:p>
      <w:pPr>
        <w:pStyle w:val="Heading3"/>
      </w:pPr>
      <w:r>
        <w:t xml:space="preserve">1. Ocena ważności odstąpienia od umowy</w:t>
      </w:r>
    </w:p>
    <w:bookmarkStart w:id="16" w:name="zaległości-czynszowe"/>
    <w:p>
      <w:pPr>
        <w:pStyle w:val="Heading4"/>
      </w:pPr>
      <w:r>
        <w:t xml:space="preserve">Zaległości czynszowe</w:t>
      </w:r>
    </w:p>
    <w:p>
      <w:pPr>
        <w:pStyle w:val="FirstParagraph"/>
      </w:pPr>
      <w:r>
        <w:t xml:space="preserve">Wydzierżawiająca złożyła oświadczenie o odstąpieniu od umowy 15.03.2024 r., powołując się na zaległość czynszową w kwocie 30 000,00 zł brutto [Źródło 1]. Analiza płatności wskazuje, że pierwsza rata czynszu (60 000,00 zł) została zapłacona w terminie (15.03.2023 r.). Druga rata (60 000,00 zł), płatna 15.09.2023 r., została uiszczona częściowo (30 000,00 zł), a pozostałe 30 000,00 zł zapłacono 30.03.2024 r. [Źródło 2].</w:t>
      </w:r>
      <w:r>
        <w:t xml:space="preserve"> </w:t>
      </w:r>
      <w:r>
        <w:t xml:space="preserve">W styczniu 2024 r. Wydzierżawiająca formalnie wezwała Klienta do zapłaty zaległości [Źródło 1]. Od 15.09.2023 r. do 15.03.2024 r. upłynęło ponad 90 dni, a więc formalnie warunek dotyczący długości zaległości był spełniony w momencie odstąpienia. Jednakże skuteczność odstąpienia zależy od prawidłowości i skuteczności wezwania do zapłaty ze stycznia 2024 r. – musi ono spełniać wymóg 30-dniowego terminu do zapłaty poprzedzającego odstąpienie. Jeżeli wezwanie to było prawidłowe, a Klient nie zapłacił w ciągu 30 dni, to mimo spłacenia zaległości 30.03.2024 r. (już po złożeniu oświadczenia o odstąpieniu), odstąpienie mogło być skuteczne z uwagi na zaległość w chwili jego złożenia. Jednakże, jeśli Wydzierżawiająca przyjęła zapłatę 30.03.2024 r. bez zastrzeżeń co do odstąpienia, może to zostać zinterpretowane jako konkludentne zrzeczenie się prawa do odstąpienia lub potwierdzenie dalszego trwania umowy (tzw. konwalidacja).</w:t>
      </w:r>
    </w:p>
    <w:bookmarkEnd w:id="16"/>
    <w:bookmarkStart w:id="17" w:name="X12ccc70da9b8c4bb04f29878e5bb3c334de565b"/>
    <w:p>
      <w:pPr>
        <w:pStyle w:val="Heading4"/>
      </w:pPr>
      <w:r>
        <w:t xml:space="preserve">Kwestie administracyjne (pozwolenie budowlane)</w:t>
      </w:r>
    </w:p>
    <w:p>
      <w:pPr>
        <w:pStyle w:val="FirstParagraph"/>
      </w:pPr>
      <w:r>
        <w:t xml:space="preserve">Klient posiada decyzję o warunkach zabudowy (WZ) z 10.02.2023 r. oraz zgłoszenie robót budowlanych z 25.02.2023 r. [Źródło 1]. W kazusie brak jest szczegółowych przepisów Prawa budowlanego i Ustawy o OZE, by jednoznacznie stwierdzić, czy dla farmy PV wymagane było pozwolenie na budowę, czy wystarczyło zgłoszenie. W praktyce, dla większych farm fotowoltaicznych zazwyczaj wymagane jest pozwolenie na budowę. Jeśli jednak przepisy w tym konkretnym przypadku dopuszczały zgłoszenie, zarzut Wydzierżawiającej jest bezpodstawny. Nawet jeśli wymagane było pozwolenie, brak jego uzyskania może nie być kwalifikowane jako</w:t>
      </w:r>
      <w:r>
        <w:t xml:space="preserve"> </w:t>
      </w:r>
      <w:r>
        <w:t xml:space="preserve">“rażące naruszenie”</w:t>
      </w:r>
      <w:r>
        <w:t xml:space="preserve"> </w:t>
      </w:r>
      <w:r>
        <w:t xml:space="preserve">w rozumieniu umowy dzierżawy, jeśli Klient podjął wszelkie kroki w celu legalizacji inwestycji (WZ, zgłoszenie) i działał w dobrej wierze. Rażące naruszenie wymaga istotnego i poważnego uchybienia, które uniemożliwia lub w znacznym stopniu utrudnia realizację celu umowy. Ponadto, umowa przewiduje 30-dniowe wezwanie do usunięcia naruszeń przed rozwiązaniem umowy z powodu rażącego naruszenia (§10.3) [Źródło 1]. Brak jest informacji, czy takie wezwanie zostało wystosowane przez Wydzierżawiającą w odniesieniu do kwestii administracyjnych.</w:t>
      </w:r>
    </w:p>
    <w:bookmarkEnd w:id="17"/>
    <w:bookmarkEnd w:id="18"/>
    <w:bookmarkStart w:id="19" w:name="Xdd752b16a6b34a494533b3341231fc691bfbafc"/>
    <w:p>
      <w:pPr>
        <w:pStyle w:val="Heading3"/>
      </w:pPr>
      <w:r>
        <w:t xml:space="preserve">2. Kwalifikacja „rażącego naruszenia” i kwestie administracyjne</w:t>
      </w:r>
    </w:p>
    <w:p>
      <w:pPr>
        <w:pStyle w:val="FirstParagraph"/>
      </w:pPr>
      <w:r>
        <w:t xml:space="preserve">Jak wspomniano wyżej, kwestia „rażącego naruszenia” przez brak pozwolenia budowlanego zależy od rzeczywistych wymogów Prawa budowlanego dla inwestycji Klienta. Jeśli zgłoszenie robót było wystarczające, naruszenia w ogóle nie było. Jeśli było wymagane pozwolenie, Klient powinien był je uzyskać. Jednakże, samo posiadanie WZ i dokonanie zgłoszenia świadczy o podjęciu działań administracyjnych [Źródło 1]. Do kwalifikacji naruszenia jako</w:t>
      </w:r>
      <w:r>
        <w:t xml:space="preserve"> </w:t>
      </w:r>
      <w:r>
        <w:t xml:space="preserve">“rażącego”</w:t>
      </w:r>
      <w:r>
        <w:t xml:space="preserve"> </w:t>
      </w:r>
      <w:r>
        <w:t xml:space="preserve">niezbędne jest wykazanie, że Klient umyślnie lub z rażącym niedbalstwem zaniechał uzyskania wymaganych zezwoleń, a skutki tego zaniechania są poważne i uniemożliwiają realizację umowy zgodnie z jej przeznaczeniem.</w:t>
      </w:r>
    </w:p>
    <w:p>
      <w:pPr>
        <w:pStyle w:val="BodyText"/>
      </w:pPr>
      <w:r>
        <w:t xml:space="preserve">Wydzierżawiająca mogła zażądać kopii dokumentów na podstawie §8.2 umowy [Źródło 2]. Niewydanie ich w terminie stanowiłoby naruszenie, ale raczej o charakterze formalnym, a nie</w:t>
      </w:r>
      <w:r>
        <w:t xml:space="preserve"> </w:t>
      </w:r>
      <w:r>
        <w:t xml:space="preserve">“rażące naruszenie”</w:t>
      </w:r>
      <w:r>
        <w:t xml:space="preserve"> </w:t>
      </w:r>
      <w:r>
        <w:t xml:space="preserve">uprawniające do rozwiązania umowy, zwłaszcza bez uprzedniego wezwania do usunięcia naruszenia [Źródło 1].</w:t>
      </w:r>
    </w:p>
    <w:bookmarkEnd w:id="19"/>
    <w:bookmarkStart w:id="23" w:name="X922714f94fa490452bdbe5d13df68b5b74c9373"/>
    <w:p>
      <w:pPr>
        <w:pStyle w:val="Heading3"/>
      </w:pPr>
      <w:r>
        <w:t xml:space="preserve">3. Ocena odpowiedzialności za szkody i roszczeń odszkodowawczych M. K.</w:t>
      </w:r>
    </w:p>
    <w:p>
      <w:pPr>
        <w:pStyle w:val="FirstParagraph"/>
      </w:pPr>
      <w:r>
        <w:t xml:space="preserve">M. K. żąda demontażu instalacji PV, przywrócenia terenu do stanu pierwotnego oraz zapłaty odszkodowania w wysokości 150 000,00 zł netto za szkody w gruncie i utratę wartości rolnej [Źródło 1].</w:t>
      </w:r>
    </w:p>
    <w:bookmarkStart w:id="20" w:name="X31d081bd0ab079dfa11cdb3ce512bea1b4a62f7"/>
    <w:p>
      <w:pPr>
        <w:pStyle w:val="Heading4"/>
      </w:pPr>
      <w:r>
        <w:t xml:space="preserve">Podstawa prawna i dowodowa roszczeń M. K.</w:t>
      </w:r>
    </w:p>
    <w:p>
      <w:pPr>
        <w:pStyle w:val="Compact"/>
        <w:numPr>
          <w:ilvl w:val="0"/>
          <w:numId w:val="1008"/>
        </w:numPr>
      </w:pPr>
      <w:r>
        <w:rPr>
          <w:b/>
          <w:bCs/>
        </w:rPr>
        <w:t xml:space="preserve">Odpowiedzialność kontraktowa (art. 471 KC):</w:t>
      </w:r>
      <w:r>
        <w:t xml:space="preserve"> </w:t>
      </w:r>
      <w:r>
        <w:t xml:space="preserve">Roszczenie to mogłoby powstać, gdyby umowa została skutecznie rozwiązana/odstąpiono od niej z winy Dzierżawcy, a Dzierżawca nienależycie wykonał obowiązki związane z zakończeniem dzierżawy lub korzystaniem z gruntu. Obowiązki dowodowe: Wydzierżawiająca musi udowodnić istnienie i wysokość szkody oraz związek przyczynowy między działaniem Klienta a szkodą.</w:t>
      </w:r>
    </w:p>
    <w:p>
      <w:pPr>
        <w:pStyle w:val="Compact"/>
        <w:numPr>
          <w:ilvl w:val="0"/>
          <w:numId w:val="1008"/>
        </w:numPr>
      </w:pPr>
      <w:r>
        <w:rPr>
          <w:b/>
          <w:bCs/>
        </w:rPr>
        <w:t xml:space="preserve">Odpowiedzialność deliktowa (art. 415 KC):</w:t>
      </w:r>
      <w:r>
        <w:t xml:space="preserve"> </w:t>
      </w:r>
      <w:r>
        <w:t xml:space="preserve">Ewentualnie, jeśli nie ma podstaw kontraktowych, Wydzierżawiająca mogłaby dochodzić roszczeń z czynu niedozwolonego, gdyby Klient swoimi działaniami (np. niewłaściwą eksploatacją lub budową bez wymaganych pozwoleń) wyrządził szkodę w gruncie. Obowiązki dowodowe są tu podobne jak przy odpowiedzialności kontraktowej.</w:t>
      </w:r>
    </w:p>
    <w:bookmarkEnd w:id="20"/>
    <w:bookmarkStart w:id="21" w:name="obowiązki-dowodowe"/>
    <w:p>
      <w:pPr>
        <w:pStyle w:val="Heading4"/>
      </w:pPr>
      <w:r>
        <w:t xml:space="preserve">Obowiązki dowodowe</w:t>
      </w:r>
    </w:p>
    <w:p>
      <w:pPr>
        <w:pStyle w:val="Compact"/>
        <w:numPr>
          <w:ilvl w:val="0"/>
          <w:numId w:val="1009"/>
        </w:numPr>
      </w:pPr>
      <w:r>
        <w:rPr>
          <w:b/>
          <w:bCs/>
        </w:rPr>
        <w:t xml:space="preserve">Wydzierżawiająca:</w:t>
      </w:r>
      <w:r>
        <w:t xml:space="preserve"> </w:t>
      </w:r>
      <w:r>
        <w:t xml:space="preserve">Musi wykazać rzeczywistą szkodę w gruncie (np. degradacja gleby, zanieczyszczenia), jej wysokość (utrata wartości rolnej, koszty rekultywacji) oraz związek przyczynowy ze sposobem wykonania farmy lub jej demontażem.</w:t>
      </w:r>
    </w:p>
    <w:p>
      <w:pPr>
        <w:pStyle w:val="Compact"/>
        <w:numPr>
          <w:ilvl w:val="0"/>
          <w:numId w:val="1009"/>
        </w:numPr>
      </w:pPr>
      <w:r>
        <w:rPr>
          <w:b/>
          <w:bCs/>
        </w:rPr>
        <w:t xml:space="preserve">Dzierżawca (Klient):</w:t>
      </w:r>
      <w:r>
        <w:t xml:space="preserve"> </w:t>
      </w:r>
      <w:r>
        <w:t xml:space="preserve">Powinien wykazać, że inwestycja była prowadzona zgodnie ze sztuką, a demontaż zostanie przeprowadzony w sposób minimalizujący ewentualne szkody, oraz że teren zostanie przywrócony do stanu użyteczności rolnej, a jego wartość nie spadła.</w:t>
      </w:r>
    </w:p>
    <w:p>
      <w:pPr>
        <w:pStyle w:val="Compact"/>
        <w:numPr>
          <w:ilvl w:val="1"/>
          <w:numId w:val="1010"/>
        </w:numPr>
      </w:pPr>
      <w:r>
        <w:rPr>
          <w:b/>
          <w:bCs/>
        </w:rPr>
        <w:t xml:space="preserve">Dowody do zgromadzenia:</w:t>
      </w:r>
      <w:r>
        <w:t xml:space="preserve"> </w:t>
      </w:r>
      <w:r>
        <w:t xml:space="preserve">Ekspertyzy gleboznawcze (przed i po inwestycji), opinie rzeczoznawcy majątkowego (oceniające wartość gruntu rolnego z instalacją PV i po jej demontażu), protokoły przedinwestycyjne (stan gruntu przed rozpoczęciem prac), zdjęcia z różnych etapów inwestycji i demontażu, dokumentacja wykonawcy prac (potwierdzająca prawidłowość wykonania i zabezpieczeń).</w:t>
      </w:r>
    </w:p>
    <w:bookmarkEnd w:id="21"/>
    <w:bookmarkStart w:id="22" w:name="X51c99edf18d86072575d4187874a164fd17a44c"/>
    <w:p>
      <w:pPr>
        <w:pStyle w:val="Heading4"/>
      </w:pPr>
      <w:r>
        <w:t xml:space="preserve">Ocena roszczenia z punktu widzenia wysokości i związku przyczynowego</w:t>
      </w:r>
    </w:p>
    <w:p>
      <w:pPr>
        <w:pStyle w:val="FirstParagraph"/>
      </w:pPr>
      <w:r>
        <w:t xml:space="preserve">Kwota 150 000,00 zł netto jest wartością do zweryfikowania. Bez ekspertyz i opinii trudno ocenić jej zasadność. Należy podważyć związek przyczynowy między obecnością farmy a rzekomą</w:t>
      </w:r>
      <w:r>
        <w:t xml:space="preserve"> </w:t>
      </w:r>
      <w:r>
        <w:t xml:space="preserve">“utratą wartości rolnej”</w:t>
      </w:r>
      <w:r>
        <w:t xml:space="preserve">, ponieważ farma PV niekoniecznie degraduje grunt w sposób nieodwracalny, a po demontażu grunt powinien być zrekultywowany.</w:t>
      </w:r>
    </w:p>
    <w:bookmarkEnd w:id="22"/>
    <w:bookmarkEnd w:id="23"/>
    <w:bookmarkStart w:id="29" w:name="X9cc491578e9eed694c9f723be21de0cc284aba0"/>
    <w:p>
      <w:pPr>
        <w:pStyle w:val="Heading3"/>
      </w:pPr>
      <w:r>
        <w:t xml:space="preserve">4. Analiza roszczeń pieniężnych i wyliczenie kwotowe</w:t>
      </w:r>
    </w:p>
    <w:bookmarkStart w:id="24" w:name="czynsz"/>
    <w:p>
      <w:pPr>
        <w:pStyle w:val="Heading4"/>
      </w:pPr>
      <w:r>
        <w:t xml:space="preserve">Czynsz</w:t>
      </w:r>
    </w:p>
    <w:p>
      <w:pPr>
        <w:pStyle w:val="Compact"/>
        <w:numPr>
          <w:ilvl w:val="0"/>
          <w:numId w:val="1011"/>
        </w:numPr>
      </w:pPr>
      <w:r>
        <w:t xml:space="preserve">Czynsz za pierwszy rok (od 01.03.2023 do 28.02.2024): 120 000,00 zł brutto.</w:t>
      </w:r>
    </w:p>
    <w:p>
      <w:pPr>
        <w:pStyle w:val="Compact"/>
        <w:numPr>
          <w:ilvl w:val="0"/>
          <w:numId w:val="1011"/>
        </w:numPr>
      </w:pPr>
      <w:r>
        <w:t xml:space="preserve">Wpłacono: 90 000,00 zł brutto. Pozostało do zapłaty 30 000,00 zł brutto [Źródło 1].</w:t>
      </w:r>
    </w:p>
    <w:p>
      <w:pPr>
        <w:pStyle w:val="Compact"/>
        <w:numPr>
          <w:ilvl w:val="0"/>
          <w:numId w:val="1011"/>
        </w:numPr>
      </w:pPr>
      <w:r>
        <w:t xml:space="preserve">Data zapłaty zaległości: 30.03.2024 r. (30 000,00 zł) [Źródło 2].</w:t>
      </w:r>
    </w:p>
    <w:p>
      <w:pPr>
        <w:pStyle w:val="Compact"/>
        <w:numPr>
          <w:ilvl w:val="0"/>
          <w:numId w:val="1011"/>
        </w:numPr>
      </w:pPr>
      <w:r>
        <w:t xml:space="preserve">Na dzień 01.10.2025 r. Klient nie zalega z czynszem za pierwszy rok dzierżawy.</w:t>
      </w:r>
    </w:p>
    <w:p>
      <w:pPr>
        <w:pStyle w:val="Compact"/>
        <w:numPr>
          <w:ilvl w:val="0"/>
          <w:numId w:val="1011"/>
        </w:numPr>
      </w:pPr>
      <w:r>
        <w:t xml:space="preserve">Czynsz za drugi rok (od 01.03.2024 do 28.02.2025): 120 000,00 zł brutto.</w:t>
      </w:r>
    </w:p>
    <w:p>
      <w:pPr>
        <w:pStyle w:val="Compact"/>
        <w:numPr>
          <w:ilvl w:val="1"/>
          <w:numId w:val="1012"/>
        </w:numPr>
      </w:pPr>
      <w:r>
        <w:t xml:space="preserve">I rata (60 000,00 zł) płatna do 15.03.2024 r.</w:t>
      </w:r>
    </w:p>
    <w:p>
      <w:pPr>
        <w:pStyle w:val="Compact"/>
        <w:numPr>
          <w:ilvl w:val="1"/>
          <w:numId w:val="1012"/>
        </w:numPr>
      </w:pPr>
      <w:r>
        <w:t xml:space="preserve">II rata (60 000,00 zł) płatna do 15.09.2024 r.</w:t>
      </w:r>
    </w:p>
    <w:p>
      <w:pPr>
        <w:pStyle w:val="Compact"/>
        <w:numPr>
          <w:ilvl w:val="0"/>
          <w:numId w:val="1011"/>
        </w:numPr>
      </w:pPr>
      <w:r>
        <w:t xml:space="preserve">Czynsz za bieżący rok (od 01.03.2025 do 28.02.2026): 120 000,00 zł brutto.</w:t>
      </w:r>
    </w:p>
    <w:p>
      <w:pPr>
        <w:pStyle w:val="Compact"/>
        <w:numPr>
          <w:ilvl w:val="1"/>
          <w:numId w:val="1013"/>
        </w:numPr>
      </w:pPr>
      <w:r>
        <w:t xml:space="preserve">I rata (60 000,00 zł) płatna do 15.03.2025 r.</w:t>
      </w:r>
    </w:p>
    <w:p>
      <w:pPr>
        <w:pStyle w:val="Compact"/>
        <w:numPr>
          <w:ilvl w:val="1"/>
          <w:numId w:val="1013"/>
        </w:numPr>
      </w:pPr>
      <w:r>
        <w:t xml:space="preserve">II rata (60 000,00 zł) płatna do 15.09.2025 r.</w:t>
      </w:r>
    </w:p>
    <w:p>
      <w:pPr>
        <w:pStyle w:val="Compact"/>
        <w:numPr>
          <w:ilvl w:val="1"/>
          <w:numId w:val="1013"/>
        </w:numPr>
      </w:pPr>
      <w:r>
        <w:t xml:space="preserve">Na dzień 01.10.2025 r. prawdopodobnie powinna być zapłacona I rata za bieżący rok. Jeśli nie była płacona z uwagi na spór, należy ją uregulować.</w:t>
      </w:r>
    </w:p>
    <w:bookmarkEnd w:id="24"/>
    <w:bookmarkStart w:id="25" w:name="kary-umowne"/>
    <w:p>
      <w:pPr>
        <w:pStyle w:val="Heading4"/>
      </w:pPr>
      <w:r>
        <w:t xml:space="preserve">Kary umowne</w:t>
      </w:r>
    </w:p>
    <w:p>
      <w:pPr>
        <w:pStyle w:val="FirstParagraph"/>
      </w:pPr>
      <w:r>
        <w:t xml:space="preserve">Kara umowna 0,05% dziennie za opóźnienie w płatności czynszu (§4.6) [Źródło 1].</w:t>
      </w:r>
      <w:r>
        <w:t xml:space="preserve"> </w:t>
      </w:r>
      <w:r>
        <w:t xml:space="preserve">*</w:t>
      </w:r>
      <w:r>
        <w:t xml:space="preserve"> </w:t>
      </w:r>
      <w:r>
        <w:rPr>
          <w:b/>
          <w:bCs/>
        </w:rPr>
        <w:t xml:space="preserve">Zaległość 30 000,00 zł brutto:</w:t>
      </w:r>
      <w:r>
        <w:t xml:space="preserve"> </w:t>
      </w:r>
      <w:r>
        <w:t xml:space="preserve">należna od 15.09.2023 r., zapłacona 30.03.2024 r.</w:t>
      </w:r>
      <w:r>
        <w:t xml:space="preserve"> </w:t>
      </w:r>
      <w:r>
        <w:t xml:space="preserve">* Liczba dni opóźnienia: od 16.09.2023 r. do 30.03.2024 r.</w:t>
      </w:r>
      <w:r>
        <w:t xml:space="preserve"> </w:t>
      </w:r>
      <w:r>
        <w:t xml:space="preserve">* Wrzesień: 15 dni (od 16.09)</w:t>
      </w:r>
      <w:r>
        <w:t xml:space="preserve"> </w:t>
      </w:r>
      <w:r>
        <w:t xml:space="preserve">* Październik: 31 dni</w:t>
      </w:r>
      <w:r>
        <w:t xml:space="preserve"> </w:t>
      </w:r>
      <w:r>
        <w:t xml:space="preserve">* Listopad: 30 dni</w:t>
      </w:r>
      <w:r>
        <w:t xml:space="preserve"> </w:t>
      </w:r>
      <w:r>
        <w:t xml:space="preserve">* Grudzień: 31 dni</w:t>
      </w:r>
      <w:r>
        <w:t xml:space="preserve"> </w:t>
      </w:r>
      <w:r>
        <w:t xml:space="preserve">* Styczeń: 31 dni</w:t>
      </w:r>
      <w:r>
        <w:t xml:space="preserve"> </w:t>
      </w:r>
      <w:r>
        <w:t xml:space="preserve">* Luty: 29 dni (2024 był rokiem przestępnym)</w:t>
      </w:r>
      <w:r>
        <w:t xml:space="preserve"> </w:t>
      </w:r>
      <w:r>
        <w:t xml:space="preserve">* Marzec: 30 dni (do 30.03)</w:t>
      </w:r>
      <w:r>
        <w:t xml:space="preserve"> </w:t>
      </w:r>
      <w:r>
        <w:t xml:space="preserve">*</w:t>
      </w:r>
      <w:r>
        <w:t xml:space="preserve"> </w:t>
      </w:r>
      <w:r>
        <w:rPr>
          <w:b/>
          <w:bCs/>
        </w:rPr>
        <w:t xml:space="preserve">Łącznie:</w:t>
      </w:r>
      <w:r>
        <w:t xml:space="preserve"> </w:t>
      </w:r>
      <w:r>
        <w:t xml:space="preserve">15 + 31 + 30 + 31 + 31 + 29 + 30 = 197 dni.</w:t>
      </w:r>
      <w:r>
        <w:t xml:space="preserve"> </w:t>
      </w:r>
      <w:r>
        <w:t xml:space="preserve">* Wysokość kary umownej: 30 000,00 zł * 0,05% * 197 dni = 30 000,00 zł * 0,0005 * 197 = 2 955,00 zł.</w:t>
      </w:r>
      <w:r>
        <w:t xml:space="preserve"> </w:t>
      </w:r>
      <w:r>
        <w:t xml:space="preserve">* Kary umowne są należne Wydzierżawiającej.</w:t>
      </w:r>
    </w:p>
    <w:bookmarkEnd w:id="25"/>
    <w:bookmarkStart w:id="26" w:name="odsetki"/>
    <w:p>
      <w:pPr>
        <w:pStyle w:val="Heading4"/>
      </w:pPr>
      <w:r>
        <w:t xml:space="preserve">Odsetki</w:t>
      </w:r>
    </w:p>
    <w:p>
      <w:pPr>
        <w:pStyle w:val="FirstParagraph"/>
      </w:pPr>
      <w:r>
        <w:t xml:space="preserve">Od zaległego czynszu (30 000,00 zł brutto) należą się również odsetki ustawowe za opóźnienie od 16.09.2023 r. do 30.03.2024 r. (197 dni). Ich wysokość należy ustalić na podstawie aktualnych stawek odsetek ustawowych za opóźnienie w danym okresie.</w:t>
      </w:r>
    </w:p>
    <w:bookmarkEnd w:id="26"/>
    <w:bookmarkStart w:id="27" w:name="X927324678f020eb9f79aedbcb5d89216b7b84ce"/>
    <w:p>
      <w:pPr>
        <w:pStyle w:val="Heading4"/>
      </w:pPr>
      <w:r>
        <w:t xml:space="preserve">Roszczenia Dzierżawcy (PV-O. sp. z o.o.) w przypadku uznania odstąpienia za bezskuteczne</w:t>
      </w:r>
    </w:p>
    <w:p>
      <w:pPr>
        <w:pStyle w:val="FirstParagraph"/>
      </w:pPr>
      <w:r>
        <w:t xml:space="preserve">Jeśli odstąpienie okaże się bezskuteczne, Dzierżawca może żądać:</w:t>
      </w:r>
      <w:r>
        <w:t xml:space="preserve"> </w:t>
      </w:r>
      <w:r>
        <w:t xml:space="preserve">* Potwierdzenia istnienia stosunku dzierżawy.</w:t>
      </w:r>
      <w:r>
        <w:t xml:space="preserve"> </w:t>
      </w:r>
      <w:r>
        <w:t xml:space="preserve">* Odszkodowania za utracone korzyści (związane z niemożnością eksploatacji farmy PV z powodu bezprawnego działania Wydzierżawiającej). Wartość odszkodowania może być znaczna, biorąc pod uwagę wartość inwestycji (4,2 mln zł netto) i potencjalne zyski z farmy.</w:t>
      </w:r>
      <w:r>
        <w:t xml:space="preserve"> </w:t>
      </w:r>
      <w:r>
        <w:t xml:space="preserve">* Zwrotu kosztów związanych z bezpodstawnymi żądaniami Wydzierżawiającej (np. kosztów prawnych, kosztów ewentualnych analiz).</w:t>
      </w:r>
    </w:p>
    <w:bookmarkEnd w:id="27"/>
    <w:bookmarkStart w:id="28" w:name="przedawnienie"/>
    <w:p>
      <w:pPr>
        <w:pStyle w:val="Heading4"/>
      </w:pPr>
      <w:r>
        <w:t xml:space="preserve">Przedawnienie</w:t>
      </w:r>
    </w:p>
    <w:p>
      <w:pPr>
        <w:pStyle w:val="FirstParagraph"/>
      </w:pPr>
      <w:r>
        <w:t xml:space="preserve">Roszczenia o zapłatę czynszu przedawniają się z upływem 3 lat jako świadczenia okresowe (art. 118 KC). Roszczenie Wydzierżawiającej o zapłatę zaległości z 15.09.2023 r. oraz kar umownych z nią związanych przedawniłoby się 15.09.2026 r. Jednakże Wydzierżawiająca podjęła działania (wezwanie do zapłaty, odstąpienie od umowy), które mogą przerwać bieg przedawnienia.</w:t>
      </w:r>
    </w:p>
    <w:bookmarkEnd w:id="28"/>
    <w:bookmarkEnd w:id="29"/>
    <w:bookmarkStart w:id="34" w:name="kwestie-dowodowe-i-taktyczne"/>
    <w:p>
      <w:pPr>
        <w:pStyle w:val="Heading3"/>
      </w:pPr>
      <w:r>
        <w:t xml:space="preserve">5. Kwestie dowodowe i taktyczne</w:t>
      </w:r>
    </w:p>
    <w:bookmarkStart w:id="30" w:name="X3d615459fe8f134cdf76918ead367a1f28c2c57"/>
    <w:p>
      <w:pPr>
        <w:pStyle w:val="Heading4"/>
      </w:pPr>
      <w:r>
        <w:t xml:space="preserve">Dowody kluczowe do wykazania braku podstaw do odstąpienia przez Wydzierżawiającą</w:t>
      </w:r>
    </w:p>
    <w:p>
      <w:pPr>
        <w:pStyle w:val="Compact"/>
        <w:numPr>
          <w:ilvl w:val="0"/>
          <w:numId w:val="1014"/>
        </w:numPr>
      </w:pPr>
      <w:r>
        <w:rPr>
          <w:b/>
          <w:bCs/>
        </w:rPr>
        <w:t xml:space="preserve">Potwierdzenia płatności czynszu:</w:t>
      </w:r>
      <w:r>
        <w:t xml:space="preserve"> </w:t>
      </w:r>
      <w:r>
        <w:t xml:space="preserve">Potwierdzenie wpłaty 60 000,00 zł z 15.03.2023 r. i 30 000,00 zł z 15.09.2023 r. oraz 30 000,00 zł z 30.03.2024 r. [Źródło 1, Źródło 2]. Klient musi udowodnić pełną i terminową zapłatę czynszu lub fakt uregulowania zaległości, a także ew. okoliczności jej opóźnienia.</w:t>
      </w:r>
    </w:p>
    <w:p>
      <w:pPr>
        <w:pStyle w:val="Compact"/>
        <w:numPr>
          <w:ilvl w:val="0"/>
          <w:numId w:val="1014"/>
        </w:numPr>
      </w:pPr>
      <w:r>
        <w:rPr>
          <w:b/>
          <w:bCs/>
        </w:rPr>
        <w:t xml:space="preserve">Dokumentacja administracyjna:</w:t>
      </w:r>
      <w:r>
        <w:t xml:space="preserve"> </w:t>
      </w:r>
      <w:r>
        <w:t xml:space="preserve">Decyzja o warunkach zabudowy z 10.02.2023 r. i zgłoszenie robót budowlanych z 25.02.2023 r. [Źródło 1]. Wskazanie, że te dokumenty były wystarczające lub że Klient działał w dobrej wierze i zgodnie z ówczesnymi przepisami.</w:t>
      </w:r>
    </w:p>
    <w:p>
      <w:pPr>
        <w:pStyle w:val="Compact"/>
        <w:numPr>
          <w:ilvl w:val="0"/>
          <w:numId w:val="1014"/>
        </w:numPr>
      </w:pPr>
      <w:r>
        <w:rPr>
          <w:b/>
          <w:bCs/>
        </w:rPr>
        <w:t xml:space="preserve">Korespondencja:</w:t>
      </w:r>
      <w:r>
        <w:t xml:space="preserve"> </w:t>
      </w:r>
      <w:r>
        <w:t xml:space="preserve">Wszelkie e-maile, pisma, protokoły dotyczące przebiegu inwestycji, odbioru terenu, próśb o dokumenty, wezwań do zapłaty. Potwierdzenie doręczenia wezwania do zapłaty w styczniu 2024 r. oraz oświadczenia o odstąpieniu.</w:t>
      </w:r>
    </w:p>
    <w:p>
      <w:pPr>
        <w:pStyle w:val="Compact"/>
        <w:numPr>
          <w:ilvl w:val="0"/>
          <w:numId w:val="1014"/>
        </w:numPr>
      </w:pPr>
      <w:r>
        <w:rPr>
          <w:b/>
          <w:bCs/>
        </w:rPr>
        <w:t xml:space="preserve">Zeznania świadków:</w:t>
      </w:r>
      <w:r>
        <w:t xml:space="preserve"> </w:t>
      </w:r>
      <w:r>
        <w:t xml:space="preserve">Pracowników Klienta odpowiedzialnych za płatności, osoby zajmujące się kwestiami administracyjnymi.</w:t>
      </w:r>
    </w:p>
    <w:p>
      <w:pPr>
        <w:pStyle w:val="Compact"/>
        <w:numPr>
          <w:ilvl w:val="0"/>
          <w:numId w:val="1014"/>
        </w:numPr>
      </w:pPr>
      <w:r>
        <w:rPr>
          <w:b/>
          <w:bCs/>
        </w:rPr>
        <w:t xml:space="preserve">Dokumentacja techniczna farmy:</w:t>
      </w:r>
      <w:r>
        <w:t xml:space="preserve"> </w:t>
      </w:r>
      <w:r>
        <w:t xml:space="preserve">Projekt, pozwolenia, certyfikaty, dziennik budowy – w celu wykazania, że inwestycja została wykonana zgodnie z przepisami i projektem.</w:t>
      </w:r>
    </w:p>
    <w:bookmarkEnd w:id="30"/>
    <w:bookmarkStart w:id="31" w:name="X38c26b5a0c15154e78449eb04fbf7f166015509"/>
    <w:p>
      <w:pPr>
        <w:pStyle w:val="Heading4"/>
      </w:pPr>
      <w:r>
        <w:t xml:space="preserve">Dowody przeciwko roszczeniom odszkodowawczym M. K.</w:t>
      </w:r>
    </w:p>
    <w:p>
      <w:pPr>
        <w:pStyle w:val="Compact"/>
        <w:numPr>
          <w:ilvl w:val="0"/>
          <w:numId w:val="1015"/>
        </w:numPr>
      </w:pPr>
      <w:r>
        <w:rPr>
          <w:b/>
          <w:bCs/>
        </w:rPr>
        <w:t xml:space="preserve">Badania gleby:</w:t>
      </w:r>
      <w:r>
        <w:t xml:space="preserve"> </w:t>
      </w:r>
      <w:r>
        <w:t xml:space="preserve">Zlecenia niezależnych badań gleby przed rozpoczęciem inwestycji i obecnie (lub po demontażu), aby wykazać brak lub minimalny wpływ farmy PV na jakość gleby.</w:t>
      </w:r>
    </w:p>
    <w:p>
      <w:pPr>
        <w:pStyle w:val="Compact"/>
        <w:numPr>
          <w:ilvl w:val="0"/>
          <w:numId w:val="1015"/>
        </w:numPr>
      </w:pPr>
      <w:r>
        <w:rPr>
          <w:b/>
          <w:bCs/>
        </w:rPr>
        <w:t xml:space="preserve">Ekspertyzy rolnicze:</w:t>
      </w:r>
      <w:r>
        <w:t xml:space="preserve"> </w:t>
      </w:r>
      <w:r>
        <w:t xml:space="preserve">Opinie potwierdzające, że grunt po demontażu farmy PV może zostać przywrócony do stanu użyteczności rolnej bez znacznej utraty wartości.</w:t>
      </w:r>
    </w:p>
    <w:p>
      <w:pPr>
        <w:pStyle w:val="Compact"/>
        <w:numPr>
          <w:ilvl w:val="0"/>
          <w:numId w:val="1015"/>
        </w:numPr>
      </w:pPr>
      <w:r>
        <w:rPr>
          <w:b/>
          <w:bCs/>
        </w:rPr>
        <w:t xml:space="preserve">Opinia rzeczoznawcy majątkowego:</w:t>
      </w:r>
      <w:r>
        <w:t xml:space="preserve"> </w:t>
      </w:r>
      <w:r>
        <w:t xml:space="preserve">Wycena wartości gruntu rolnego z instalacją PV i po jej demontażu, w celu kwestionowania wysokości roszczeń.</w:t>
      </w:r>
    </w:p>
    <w:p>
      <w:pPr>
        <w:pStyle w:val="Compact"/>
        <w:numPr>
          <w:ilvl w:val="0"/>
          <w:numId w:val="1015"/>
        </w:numPr>
      </w:pPr>
      <w:r>
        <w:rPr>
          <w:b/>
          <w:bCs/>
        </w:rPr>
        <w:t xml:space="preserve">Umowa dzierżawy:</w:t>
      </w:r>
      <w:r>
        <w:t xml:space="preserve"> </w:t>
      </w:r>
      <w:r>
        <w:t xml:space="preserve">Postanowienia dotyczące obowiązków dzierżawcy po zakończeniu umowy w zakresie przywrócenia gruntu do stanu poprzedniego.</w:t>
      </w:r>
    </w:p>
    <w:bookmarkEnd w:id="31"/>
    <w:bookmarkStart w:id="32" w:name="X236fecb2c636fbd4d09aa99dc4052feab0ceb48"/>
    <w:p>
      <w:pPr>
        <w:pStyle w:val="Heading4"/>
      </w:pPr>
      <w:r>
        <w:t xml:space="preserve">Możliwość zabezpieczenia roszczeń (wniosek o zabezpieczenie powództwa)</w:t>
      </w:r>
    </w:p>
    <w:p>
      <w:pPr>
        <w:pStyle w:val="FirstParagraph"/>
      </w:pPr>
      <w:r>
        <w:t xml:space="preserve">Z uwagi na znaczną wartość inwestycji Klienta (4,2 mln zł netto) [Źródło 1] i ryzyko jej utraty w przypadku demontażu instalacji, rekomendowane jest złożenie wniosku o zabezpieczenie powództwa o ustalenie istnienia stosunku dzierżawy.</w:t>
      </w:r>
      <w:r>
        <w:t xml:space="preserve"> </w:t>
      </w:r>
      <w:r>
        <w:t xml:space="preserve">*</w:t>
      </w:r>
      <w:r>
        <w:t xml:space="preserve"> </w:t>
      </w:r>
      <w:r>
        <w:rPr>
          <w:b/>
          <w:bCs/>
        </w:rPr>
        <w:t xml:space="preserve">Wskazane sposoby zabezpieczenia (Art. 736 § 1 pkt 1 KPC):</w:t>
      </w:r>
      <w:r>
        <w:t xml:space="preserve"> </w:t>
      </w:r>
      <w:r>
        <w:t xml:space="preserve">* Zakaz usuwania instalacji fotowoltaicznej z działki ewidencyjnej nr 45/3 przez Wydzierżawiającą.</w:t>
      </w:r>
      <w:r>
        <w:t xml:space="preserve"> </w:t>
      </w:r>
      <w:r>
        <w:t xml:space="preserve">* Zakaz rozporządzania gruntem (sprzedaż, obciążenie) przez Wydzierżawiającą, aby uniemożliwić jej utrudnienie egzekucji ewentualnych roszczeń Dzierżawcy.</w:t>
      </w:r>
      <w:r>
        <w:t xml:space="preserve"> </w:t>
      </w:r>
      <w:r>
        <w:t xml:space="preserve">*</w:t>
      </w:r>
      <w:r>
        <w:t xml:space="preserve"> </w:t>
      </w:r>
      <w:r>
        <w:rPr>
          <w:b/>
          <w:bCs/>
        </w:rPr>
        <w:t xml:space="preserve">Uprawdopodobnienie okoliczności uzasadniających wniosek (Art. 736 § 1 pkt 2 KPC):</w:t>
      </w:r>
      <w:r>
        <w:t xml:space="preserve"> </w:t>
      </w:r>
      <w:r>
        <w:t xml:space="preserve">* Bezpodstawność odstąpienia Wydzierżawiającej (wskazanie argumentów prawnych i dowodów, np. potwierdzeń płatności, dokumentacji administracyjnej).</w:t>
      </w:r>
      <w:r>
        <w:t xml:space="preserve"> </w:t>
      </w:r>
      <w:r>
        <w:t xml:space="preserve">* Poważna szkoda, którą poniósłby Klient w przypadku usunięcia instalacji (utrata inwestycji, utracone korzyści).</w:t>
      </w:r>
      <w:r>
        <w:t xml:space="preserve"> </w:t>
      </w:r>
      <w:r>
        <w:t xml:space="preserve">* Działanie Klienta w dobrej wierze i zgodnie z umową.</w:t>
      </w:r>
    </w:p>
    <w:bookmarkEnd w:id="32"/>
    <w:bookmarkStart w:id="33" w:name="X08991fabdd53fb62b00bfb36a71a02e33c981fd"/>
    <w:p>
      <w:pPr>
        <w:pStyle w:val="Heading4"/>
      </w:pPr>
      <w:r>
        <w:t xml:space="preserve">Ryzyka związane z ewentualnymi decyzjami administracyjnymi</w:t>
      </w:r>
    </w:p>
    <w:p>
      <w:pPr>
        <w:pStyle w:val="FirstParagraph"/>
      </w:pPr>
      <w:r>
        <w:t xml:space="preserve">Istnieje ryzyko, że organy administracji (np. nadzór budowlany) mogą nakazać demontaż instalacji lub wstrzymanie jej eksploatacji, jeśli okaże się, że budowa odbyła się bez wymaganego pozwolenia. Klient powinien zweryfikować status prawny zgłoszenia robót budowlanych pod farmę fotowoltaiczną w obowiązującym stanie prawnym.</w:t>
      </w:r>
    </w:p>
    <w:bookmarkEnd w:id="33"/>
    <w:bookmarkEnd w:id="34"/>
    <w:bookmarkStart w:id="39" w:name="X109692e44920e221183651cda49c81d49ad7d60"/>
    <w:p>
      <w:pPr>
        <w:pStyle w:val="Heading3"/>
      </w:pPr>
      <w:r>
        <w:t xml:space="preserve">6. Ocena ryzyk ekonomicznych i proceduralnych oraz strategia procesowa</w:t>
      </w:r>
    </w:p>
    <w:bookmarkStart w:id="35" w:name="X1ae38ca023c4d9b250c545a4211c8dc2617abb1"/>
    <w:p>
      <w:pPr>
        <w:pStyle w:val="Heading4"/>
      </w:pPr>
      <w:r>
        <w:t xml:space="preserve">Ryzyko naruszenia umowy przez dzierżawcę i wynikające z tego konsekwencje finansowe</w:t>
      </w:r>
    </w:p>
    <w:p>
      <w:pPr>
        <w:pStyle w:val="Compact"/>
        <w:numPr>
          <w:ilvl w:val="0"/>
          <w:numId w:val="1016"/>
        </w:numPr>
      </w:pPr>
      <w:r>
        <w:rPr>
          <w:b/>
          <w:bCs/>
        </w:rPr>
        <w:t xml:space="preserve">Koszty demontażu:</w:t>
      </w:r>
      <w:r>
        <w:t xml:space="preserve"> </w:t>
      </w:r>
      <w:r>
        <w:t xml:space="preserve">W przypadku uznania odstąpienia za skuteczne, Klient będzie musiał ponieść koszty demontażu instalacji oraz przywrócenia gruntu do stanu pierwotnego.</w:t>
      </w:r>
    </w:p>
    <w:p>
      <w:pPr>
        <w:pStyle w:val="Compact"/>
        <w:numPr>
          <w:ilvl w:val="0"/>
          <w:numId w:val="1016"/>
        </w:numPr>
      </w:pPr>
      <w:r>
        <w:rPr>
          <w:b/>
          <w:bCs/>
        </w:rPr>
        <w:t xml:space="preserve">Utrata inwestycji:</w:t>
      </w:r>
      <w:r>
        <w:t xml:space="preserve"> </w:t>
      </w:r>
      <w:r>
        <w:t xml:space="preserve">Uznanie odstąpienia za skuteczne oznacza utratę inwestycji w farmę PV (4,2 mln zł netto) [Źródło 1], ponieważ Klient nie będzie mógł jej eksploatować.</w:t>
      </w:r>
    </w:p>
    <w:p>
      <w:pPr>
        <w:pStyle w:val="Compact"/>
        <w:numPr>
          <w:ilvl w:val="0"/>
          <w:numId w:val="1016"/>
        </w:numPr>
      </w:pPr>
      <w:r>
        <w:rPr>
          <w:b/>
          <w:bCs/>
        </w:rPr>
        <w:t xml:space="preserve">Kary umowne i odsetki:</w:t>
      </w:r>
      <w:r>
        <w:t xml:space="preserve"> </w:t>
      </w:r>
      <w:r>
        <w:t xml:space="preserve">W przypadku udowodnionych zaległości, Klient będzie zobowiązany do zapłaty kar umownych i odsetek (ok. 2 955,00 zł + odsetki) [patrz pkt 4].</w:t>
      </w:r>
    </w:p>
    <w:bookmarkEnd w:id="35"/>
    <w:bookmarkStart w:id="36" w:name="X2b33393f5bf20865b23edf171633e2a4c5ef9be"/>
    <w:p>
      <w:pPr>
        <w:pStyle w:val="Heading4"/>
      </w:pPr>
      <w:r>
        <w:t xml:space="preserve">Ryzyko prawne dla wydzierżawiającego (np. utrata wynagrodzenia, zasady zwrotu ulepszeń)</w:t>
      </w:r>
    </w:p>
    <w:p>
      <w:pPr>
        <w:pStyle w:val="Compact"/>
        <w:numPr>
          <w:ilvl w:val="0"/>
          <w:numId w:val="1017"/>
        </w:numPr>
      </w:pPr>
      <w:r>
        <w:t xml:space="preserve">Jeśli odstąpienie okaże się bezskuteczne, Wydzierżawiająca może być zobowiązana do zapłaty odszkodowania Klientowi za utracone korzyści.</w:t>
      </w:r>
    </w:p>
    <w:p>
      <w:pPr>
        <w:pStyle w:val="Compact"/>
        <w:numPr>
          <w:ilvl w:val="0"/>
          <w:numId w:val="1017"/>
        </w:numPr>
      </w:pPr>
      <w:r>
        <w:t xml:space="preserve">Kwestia zwrotu ulepszeń gruntu: instalacja PV jest ulepszeniem. W przypadku zakończenia dzierżawy, Klient ma prawo żądać zwrotu wartości ulepszeń (Art. 694 KC w zw. z art. 676 KC).</w:t>
      </w:r>
    </w:p>
    <w:bookmarkEnd w:id="36"/>
    <w:bookmarkStart w:id="37" w:name="strategia-negocjacyjna"/>
    <w:p>
      <w:pPr>
        <w:pStyle w:val="Heading4"/>
      </w:pPr>
      <w:r>
        <w:t xml:space="preserve">Strategia negocjacyjna</w:t>
      </w:r>
    </w:p>
    <w:p>
      <w:pPr>
        <w:pStyle w:val="FirstParagraph"/>
      </w:pPr>
      <w:r>
        <w:t xml:space="preserve">Przed wszczęciem postępowania sądowego zaleca się podjęcie próby negocjacji lub mediacji, zgodnie z §10.3 umowy [Źródło 1] oraz ogólnymi zasadami prowadzenia sporów w dobrej wierze (Art. 72 § 2 KC).</w:t>
      </w:r>
      <w:r>
        <w:t xml:space="preserve"> </w:t>
      </w:r>
      <w:r>
        <w:t xml:space="preserve">*</w:t>
      </w:r>
      <w:r>
        <w:t xml:space="preserve"> </w:t>
      </w:r>
      <w:r>
        <w:rPr>
          <w:b/>
          <w:bCs/>
        </w:rPr>
        <w:t xml:space="preserve">Propozycje aneksu:</w:t>
      </w:r>
      <w:r>
        <w:t xml:space="preserve"> </w:t>
      </w:r>
      <w:r>
        <w:t xml:space="preserve">Można zaproponować aneks do umowy, precyzujący np. kwestie formalno-prawne dotyczące inwestycji, harmonogram płatności, czy rozstrzygający wątpliwości interpretacyjne.</w:t>
      </w:r>
      <w:r>
        <w:t xml:space="preserve"> </w:t>
      </w:r>
      <w:r>
        <w:t xml:space="preserve">*</w:t>
      </w:r>
      <w:r>
        <w:t xml:space="preserve"> </w:t>
      </w:r>
      <w:r>
        <w:rPr>
          <w:b/>
          <w:bCs/>
        </w:rPr>
        <w:t xml:space="preserve">Mediator:</w:t>
      </w:r>
      <w:r>
        <w:t xml:space="preserve"> </w:t>
      </w:r>
      <w:r>
        <w:t xml:space="preserve">Udział niezależnego mediatora może pomóc w osiągnięciu porozumienia.</w:t>
      </w:r>
      <w:r>
        <w:t xml:space="preserve"> </w:t>
      </w:r>
      <w:r>
        <w:t xml:space="preserve">*</w:t>
      </w:r>
      <w:r>
        <w:t xml:space="preserve"> </w:t>
      </w:r>
      <w:r>
        <w:rPr>
          <w:b/>
          <w:bCs/>
        </w:rPr>
        <w:t xml:space="preserve">Zabezpieczenie interesów PV-O. sp. z o.o.:</w:t>
      </w:r>
      <w:r>
        <w:t xml:space="preserve"> </w:t>
      </w:r>
      <w:r>
        <w:t xml:space="preserve">W negocjacjach należy dążyć do utrzymania umowy dzierżawy w mocy i możliwości dalszej eksploatacji farmy, ewentualnie do uzyskania korzystnego rozliczenia w przypadku jej zakończenia.</w:t>
      </w:r>
    </w:p>
    <w:bookmarkEnd w:id="37"/>
    <w:bookmarkStart w:id="38" w:name="X83b4f46245721e24464922fa0244e606cf80c9f"/>
    <w:p>
      <w:pPr>
        <w:pStyle w:val="Heading4"/>
      </w:pPr>
      <w:r>
        <w:t xml:space="preserve">Możliwe przesłanki do wniesienia powództwa</w:t>
      </w:r>
    </w:p>
    <w:p>
      <w:pPr>
        <w:pStyle w:val="Compact"/>
        <w:numPr>
          <w:ilvl w:val="0"/>
          <w:numId w:val="1018"/>
        </w:numPr>
      </w:pPr>
      <w:r>
        <w:rPr>
          <w:b/>
          <w:bCs/>
        </w:rPr>
        <w:t xml:space="preserve">Powództwo o ustalenie:</w:t>
      </w:r>
      <w:r>
        <w:t xml:space="preserve"> </w:t>
      </w:r>
      <w:r>
        <w:t xml:space="preserve">O ustalenie istnienia stosunku prawnego dzierżawy (Art. 189 KPC), w przypadku gdy Wydzierżawiająca utrzymuje, że umowa została skutecznie rozwiązana.</w:t>
      </w:r>
    </w:p>
    <w:p>
      <w:pPr>
        <w:pStyle w:val="Compact"/>
        <w:numPr>
          <w:ilvl w:val="0"/>
          <w:numId w:val="1018"/>
        </w:numPr>
      </w:pPr>
      <w:r>
        <w:rPr>
          <w:b/>
          <w:bCs/>
        </w:rPr>
        <w:t xml:space="preserve">Powództwo o zapłatę:</w:t>
      </w:r>
      <w:r>
        <w:t xml:space="preserve"> </w:t>
      </w:r>
      <w:r>
        <w:t xml:space="preserve">Jeśli Klient poniósł szkodę w wyniku bezpodstawnego działania Wydzierżawiającej (np. utracone korzyści z eksploatacji farmy PV).</w:t>
      </w:r>
    </w:p>
    <w:p>
      <w:pPr>
        <w:pStyle w:val="Compact"/>
        <w:numPr>
          <w:ilvl w:val="0"/>
          <w:numId w:val="1018"/>
        </w:numPr>
      </w:pPr>
      <w:r>
        <w:rPr>
          <w:b/>
          <w:bCs/>
        </w:rPr>
        <w:t xml:space="preserve">Wniosek o zabezpieczenie:</w:t>
      </w:r>
      <w:r>
        <w:t xml:space="preserve"> </w:t>
      </w:r>
      <w:r>
        <w:t xml:space="preserve">Niezależnie od powództwa głównego, wniosek o zabezpieczenie jest kluczowy w celu ochrony inwestycji [patrz pkt 5].</w:t>
      </w:r>
    </w:p>
    <w:bookmarkEnd w:id="38"/>
    <w:bookmarkEnd w:id="39"/>
    <w:bookmarkEnd w:id="40"/>
    <w:bookmarkStart w:id="45" w:name="rejestr-ryzyk-i-szans"/>
    <w:p>
      <w:pPr>
        <w:pStyle w:val="Heading2"/>
      </w:pPr>
      <w:r>
        <w:t xml:space="preserve">Rejestr ryzyk i szans</w:t>
      </w:r>
    </w:p>
    <w:bookmarkStart w:id="41" w:name="mocne-strony-szanse"/>
    <w:p>
      <w:pPr>
        <w:pStyle w:val="Heading3"/>
      </w:pPr>
      <w:r>
        <w:t xml:space="preserve">Mocne strony (szanse)</w:t>
      </w:r>
    </w:p>
    <w:p>
      <w:pPr>
        <w:pStyle w:val="Compact"/>
        <w:numPr>
          <w:ilvl w:val="0"/>
          <w:numId w:val="1019"/>
        </w:numPr>
      </w:pPr>
      <w:r>
        <w:rPr>
          <w:b/>
          <w:bCs/>
        </w:rPr>
        <w:t xml:space="preserve">Duża wartość inwestycji:</w:t>
      </w:r>
      <w:r>
        <w:t xml:space="preserve"> </w:t>
      </w:r>
      <w:r>
        <w:t xml:space="preserve">4,2 mln zł netto [Źródło 1] stanowi silny argument za utrzymaniem umowy i potencjalnie wysokimi roszczeniami odszkodowawczymi dla Klienta.</w:t>
      </w:r>
    </w:p>
    <w:p>
      <w:pPr>
        <w:pStyle w:val="Compact"/>
        <w:numPr>
          <w:ilvl w:val="0"/>
          <w:numId w:val="1019"/>
        </w:numPr>
      </w:pPr>
      <w:r>
        <w:rPr>
          <w:b/>
          <w:bCs/>
        </w:rPr>
        <w:t xml:space="preserve">Posiadanie WZ i zgłoszenia robót:</w:t>
      </w:r>
      <w:r>
        <w:t xml:space="preserve"> </w:t>
      </w:r>
      <w:r>
        <w:t xml:space="preserve">Świadczy o podjęciu działań legalizacyjnych, co osłabia zarzut</w:t>
      </w:r>
      <w:r>
        <w:t xml:space="preserve"> </w:t>
      </w:r>
      <w:r>
        <w:t xml:space="preserve">“rażącego naruszenia”</w:t>
      </w:r>
      <w:r>
        <w:t xml:space="preserve"> </w:t>
      </w:r>
      <w:r>
        <w:t xml:space="preserve">[Źródło 1].</w:t>
      </w:r>
    </w:p>
    <w:p>
      <w:pPr>
        <w:pStyle w:val="Compact"/>
        <w:numPr>
          <w:ilvl w:val="0"/>
          <w:numId w:val="1019"/>
        </w:numPr>
      </w:pPr>
      <w:r>
        <w:rPr>
          <w:b/>
          <w:bCs/>
        </w:rPr>
        <w:t xml:space="preserve">Uregulowanie zaległości czynszowej:</w:t>
      </w:r>
      <w:r>
        <w:t xml:space="preserve"> </w:t>
      </w:r>
      <w:r>
        <w:t xml:space="preserve">Mimo opóźnienia, Klient uregulował zaległość, co może podważyć dobrą wiarę Wydzierżawiającej w odstąpieniu, zwłaszcza jeśli przyjęła zapłatę po odstąpieniu [Źródło 2].</w:t>
      </w:r>
    </w:p>
    <w:p>
      <w:pPr>
        <w:pStyle w:val="Compact"/>
        <w:numPr>
          <w:ilvl w:val="0"/>
          <w:numId w:val="1019"/>
        </w:numPr>
      </w:pPr>
      <w:r>
        <w:rPr>
          <w:b/>
          <w:bCs/>
        </w:rPr>
        <w:t xml:space="preserve">Zapis o polubownym rozwiązaniu sporu:</w:t>
      </w:r>
      <w:r>
        <w:t xml:space="preserve"> </w:t>
      </w:r>
      <w:r>
        <w:t xml:space="preserve">§10.3 [Źródło 1] może być wykorzystany jako podstawa do podjęcia negocjacji lub mediacji, zanim sprawa trafi do sądu.</w:t>
      </w:r>
    </w:p>
    <w:p>
      <w:pPr>
        <w:pStyle w:val="Compact"/>
        <w:numPr>
          <w:ilvl w:val="0"/>
          <w:numId w:val="1019"/>
        </w:numPr>
      </w:pPr>
      <w:r>
        <w:rPr>
          <w:b/>
          <w:bCs/>
        </w:rPr>
        <w:t xml:space="preserve">Długoterminowy charakter umowy:</w:t>
      </w:r>
      <w:r>
        <w:t xml:space="preserve"> </w:t>
      </w:r>
      <w:r>
        <w:t xml:space="preserve">25 lat [Źródło 1] oznacza, że Klient miał uzasadnione oczekiwania co do długoterminowej eksploatacji.</w:t>
      </w:r>
    </w:p>
    <w:bookmarkEnd w:id="41"/>
    <w:bookmarkStart w:id="42" w:name="słabe-strony-ryzyka"/>
    <w:p>
      <w:pPr>
        <w:pStyle w:val="Heading3"/>
      </w:pPr>
      <w:r>
        <w:t xml:space="preserve">Słabe strony (ryzyka)</w:t>
      </w:r>
    </w:p>
    <w:p>
      <w:pPr>
        <w:pStyle w:val="Compact"/>
        <w:numPr>
          <w:ilvl w:val="0"/>
          <w:numId w:val="1020"/>
        </w:numPr>
      </w:pPr>
      <w:r>
        <w:rPr>
          <w:b/>
          <w:bCs/>
        </w:rPr>
        <w:t xml:space="preserve">Opóźnienie w płatności czynszu:</w:t>
      </w:r>
      <w:r>
        <w:t xml:space="preserve"> </w:t>
      </w:r>
      <w:r>
        <w:t xml:space="preserve">Zaległość przekroczyła 90 dni w momencie odstąpienia [Źródło 1]. Należy precyzyjnie ustalić, czy wezwanie do zapłaty było prawidłowe i dawało podstawy do odstąpienia zgodnie z umową i Art. 703 KC.</w:t>
      </w:r>
    </w:p>
    <w:p>
      <w:pPr>
        <w:pStyle w:val="Compact"/>
        <w:numPr>
          <w:ilvl w:val="0"/>
          <w:numId w:val="1020"/>
        </w:numPr>
      </w:pPr>
      <w:r>
        <w:rPr>
          <w:b/>
          <w:bCs/>
        </w:rPr>
        <w:t xml:space="preserve">Brak jasności co do pozwolenia na budowę:</w:t>
      </w:r>
      <w:r>
        <w:t xml:space="preserve"> </w:t>
      </w:r>
      <w:r>
        <w:t xml:space="preserve">Należy zweryfikować, czy zgłoszenie było wystarczające dla farmy PV. Jeśli nie, może to być podstawa do zarzutu naruszenia prawa budowlanego.</w:t>
      </w:r>
    </w:p>
    <w:p>
      <w:pPr>
        <w:pStyle w:val="Compact"/>
        <w:numPr>
          <w:ilvl w:val="0"/>
          <w:numId w:val="1020"/>
        </w:numPr>
      </w:pPr>
      <w:r>
        <w:rPr>
          <w:b/>
          <w:bCs/>
        </w:rPr>
        <w:t xml:space="preserve">Roszczenia odszkodowawcze Wydzierżawiającej:</w:t>
      </w:r>
      <w:r>
        <w:t xml:space="preserve"> </w:t>
      </w:r>
      <w:r>
        <w:t xml:space="preserve">150 000,00 zł netto [Źródło 1] za szkody w gruncie – nawet jeśli są zawyżone, mogą stanowić obciążenie dowodowe dla Klienta.</w:t>
      </w:r>
    </w:p>
    <w:p>
      <w:pPr>
        <w:pStyle w:val="Compact"/>
        <w:numPr>
          <w:ilvl w:val="0"/>
          <w:numId w:val="1020"/>
        </w:numPr>
      </w:pPr>
      <w:r>
        <w:rPr>
          <w:b/>
          <w:bCs/>
        </w:rPr>
        <w:t xml:space="preserve">Ryzyko decyzji administracyjnych:</w:t>
      </w:r>
      <w:r>
        <w:t xml:space="preserve"> </w:t>
      </w:r>
      <w:r>
        <w:t xml:space="preserve">Organy administracyjne mogą nakazać demontaż instalacji lub wstrzymanie jej eksploatacji, jeśli inwestycja faktycznie narusza prawo budowlane.</w:t>
      </w:r>
    </w:p>
    <w:bookmarkEnd w:id="42"/>
    <w:bookmarkStart w:id="43" w:name="kontrargumenty-strony-przeciwnej"/>
    <w:p>
      <w:pPr>
        <w:pStyle w:val="Heading3"/>
      </w:pPr>
      <w:r>
        <w:t xml:space="preserve">Kontrargumenty strony przeciwnej</w:t>
      </w:r>
    </w:p>
    <w:p>
      <w:pPr>
        <w:pStyle w:val="Compact"/>
        <w:numPr>
          <w:ilvl w:val="0"/>
          <w:numId w:val="1021"/>
        </w:numPr>
      </w:pPr>
      <w:r>
        <w:t xml:space="preserve">Zaległości czynszowe przekraczały 90 dni, a wezwanie do zapłaty było w styczniu 2024 r. Odstąpienie było zatem formalnie uzasadnione [Źródło 1].</w:t>
      </w:r>
    </w:p>
    <w:p>
      <w:pPr>
        <w:pStyle w:val="Compact"/>
        <w:numPr>
          <w:ilvl w:val="0"/>
          <w:numId w:val="1021"/>
        </w:numPr>
      </w:pPr>
      <w:r>
        <w:t xml:space="preserve">Brak pozwolenia na budowę (jeśli było wymagane) stanowi rażące naruszenie umowy i przepisów prawa budowlanego.</w:t>
      </w:r>
    </w:p>
    <w:p>
      <w:pPr>
        <w:pStyle w:val="Compact"/>
        <w:numPr>
          <w:ilvl w:val="0"/>
          <w:numId w:val="1021"/>
        </w:numPr>
      </w:pPr>
      <w:r>
        <w:t xml:space="preserve">Klient nie przedłożył wymaganych dokumentów na podstawie §8.2 umowy, co uniemożliwiło Wydzierżawiającej weryfikację legalności inwestycji [Źródło 2].</w:t>
      </w:r>
    </w:p>
    <w:p>
      <w:pPr>
        <w:pStyle w:val="Compact"/>
        <w:numPr>
          <w:ilvl w:val="0"/>
          <w:numId w:val="1021"/>
        </w:numPr>
      </w:pPr>
      <w:r>
        <w:t xml:space="preserve">Inwestycja PV mogła spowodować degradację gruntu rolnego, a żądana kwota odszkodowania jest uzasadniona.</w:t>
      </w:r>
    </w:p>
    <w:bookmarkEnd w:id="43"/>
    <w:bookmarkStart w:id="44" w:name="rekomendowana-strategia"/>
    <w:p>
      <w:pPr>
        <w:pStyle w:val="Heading3"/>
      </w:pPr>
      <w:r>
        <w:t xml:space="preserve">Rekomendowana strategia</w:t>
      </w:r>
    </w:p>
    <w:p>
      <w:pPr>
        <w:pStyle w:val="Compact"/>
        <w:numPr>
          <w:ilvl w:val="0"/>
          <w:numId w:val="1022"/>
        </w:numPr>
      </w:pPr>
      <w:r>
        <w:rPr>
          <w:b/>
          <w:bCs/>
        </w:rPr>
        <w:t xml:space="preserve">Analiza prawno-administracyjna:</w:t>
      </w:r>
      <w:r>
        <w:t xml:space="preserve"> </w:t>
      </w:r>
      <w:r>
        <w:t xml:space="preserve">Pilna weryfikacja statusu prawnego budowy farm PV w dacie inwestycji w oparciu o pełne brzmienie Prawa budowlanego i Ustawy o OZE, aby potwierdzić, czy zgłoszenie robót było wystarczające.</w:t>
      </w:r>
    </w:p>
    <w:p>
      <w:pPr>
        <w:pStyle w:val="Compact"/>
        <w:numPr>
          <w:ilvl w:val="0"/>
          <w:numId w:val="1022"/>
        </w:numPr>
      </w:pPr>
      <w:r>
        <w:rPr>
          <w:b/>
          <w:bCs/>
        </w:rPr>
        <w:t xml:space="preserve">Negocjacje/Mediacja:</w:t>
      </w:r>
      <w:r>
        <w:t xml:space="preserve"> </w:t>
      </w:r>
      <w:r>
        <w:t xml:space="preserve">Podjąć kolejną próbę polubownego rozwiązania sporu (zgodnie z §10.3 umowy) [Źródło 1], przedstawiając argumenty Klienta, w tym uregulowanie zaległości czynszowej oraz posiadane dokumenty administracyjne.</w:t>
      </w:r>
    </w:p>
    <w:p>
      <w:pPr>
        <w:pStyle w:val="Compact"/>
        <w:numPr>
          <w:ilvl w:val="0"/>
          <w:numId w:val="1022"/>
        </w:numPr>
      </w:pPr>
      <w:r>
        <w:rPr>
          <w:b/>
          <w:bCs/>
        </w:rPr>
        <w:t xml:space="preserve">Postępowanie sądowe:</w:t>
      </w:r>
      <w:r>
        <w:t xml:space="preserve"> </w:t>
      </w:r>
      <w:r>
        <w:t xml:space="preserve">W przypadku braku porozumienia, Klient powinien niezwłocznie wnieść powództwo o ustalenie istnienia stosunku dzierżawy (Art. 189 KPC) wraz z wnioskiem o zabezpieczenie powództwa (Art. 736 KPC) w postaci zakazu demontażu instalacji i zakazu rozporządzania gruntem. Jest to kluczowe dla ochrony inwestycji.</w:t>
      </w:r>
    </w:p>
    <w:p>
      <w:pPr>
        <w:pStyle w:val="Compact"/>
        <w:numPr>
          <w:ilvl w:val="0"/>
          <w:numId w:val="1022"/>
        </w:numPr>
      </w:pPr>
      <w:r>
        <w:rPr>
          <w:b/>
          <w:bCs/>
        </w:rPr>
        <w:t xml:space="preserve">Przygotowanie dowodów:</w:t>
      </w:r>
      <w:r>
        <w:t xml:space="preserve"> </w:t>
      </w:r>
      <w:r>
        <w:t xml:space="preserve">Aktywne gromadzenie dowodów (potwierdzenia płatności, dokumentacja administracyjna, korespondencja, ewentualne ekspertyzy gleboznawcze/rzeczoznawców) w celu obrony przed roszczeniami Wydzierżawiającej i poparcia roszczeń własnych Klienta.</w:t>
      </w:r>
    </w:p>
    <w:bookmarkEnd w:id="44"/>
    <w:bookmarkEnd w:id="45"/>
    <w:bookmarkStart w:id="46" w:name="X7cf9fb69d981b6f59c35c30317b4e8d9bb28469"/>
    <w:p>
      <w:pPr>
        <w:pStyle w:val="Heading2"/>
      </w:pPr>
      <w:r>
        <w:t xml:space="preserve">Projekty pism wskazanych w części IV kazusu</w:t>
      </w:r>
    </w:p>
    <w:p>
      <w:pPr>
        <w:pStyle w:val="FirstParagraph"/>
      </w:pPr>
      <w:r>
        <w:t xml:space="preserve">(Na podstawie części III kazusu i rekomendowanej strategii)</w:t>
      </w:r>
    </w:p>
    <w:p>
      <w:pPr>
        <w:pStyle w:val="Compact"/>
        <w:numPr>
          <w:ilvl w:val="0"/>
          <w:numId w:val="1023"/>
        </w:numPr>
      </w:pPr>
      <w:r>
        <w:rPr>
          <w:b/>
          <w:bCs/>
        </w:rPr>
        <w:t xml:space="preserve">Pismo procesowe: Odpowiedź na oświadczenie o odstąpieniu od umowy</w:t>
      </w:r>
      <w:r>
        <w:t xml:space="preserve"> </w:t>
      </w:r>
      <w:r>
        <w:t xml:space="preserve">(potwierdzające bezskuteczność odstąpienia i wzywające do powrotu do realizacji umowy).</w:t>
      </w:r>
    </w:p>
    <w:p>
      <w:pPr>
        <w:pStyle w:val="Compact"/>
        <w:numPr>
          <w:ilvl w:val="0"/>
          <w:numId w:val="1023"/>
        </w:numPr>
      </w:pPr>
      <w:r>
        <w:rPr>
          <w:b/>
          <w:bCs/>
        </w:rPr>
        <w:t xml:space="preserve">Pismo procesowe: Pozew o ustalenie istnienia stosunku prawnego dzierżawy.</w:t>
      </w:r>
    </w:p>
    <w:p>
      <w:pPr>
        <w:pStyle w:val="Compact"/>
        <w:numPr>
          <w:ilvl w:val="0"/>
          <w:numId w:val="1023"/>
        </w:numPr>
      </w:pPr>
      <w:r>
        <w:rPr>
          <w:b/>
          <w:bCs/>
        </w:rPr>
        <w:t xml:space="preserve">Wniosek o zabezpieczenie powództwa</w:t>
      </w:r>
      <w:r>
        <w:t xml:space="preserve"> </w:t>
      </w:r>
      <w:r>
        <w:t xml:space="preserve">(załączony do pozwu).</w:t>
      </w:r>
    </w:p>
    <w:p>
      <w:pPr>
        <w:pStyle w:val="Compact"/>
        <w:numPr>
          <w:ilvl w:val="0"/>
          <w:numId w:val="1023"/>
        </w:numPr>
      </w:pPr>
      <w:r>
        <w:rPr>
          <w:b/>
          <w:bCs/>
        </w:rPr>
        <w:t xml:space="preserve">Pismo procesowe: Wniosek o mediację sądową.</w:t>
      </w:r>
    </w:p>
    <w:bookmarkEnd w:id="46"/>
    <w:bookmarkStart w:id="47" w:name="instrukcja-kolejnych-kroków"/>
    <w:p>
      <w:pPr>
        <w:pStyle w:val="Heading2"/>
      </w:pPr>
      <w:r>
        <w:t xml:space="preserve">Instrukcja kolejnych kroków</w:t>
      </w:r>
    </w:p>
    <w:p>
      <w:pPr>
        <w:pStyle w:val="Compact"/>
        <w:numPr>
          <w:ilvl w:val="0"/>
          <w:numId w:val="1024"/>
        </w:numPr>
      </w:pPr>
      <w:r>
        <w:rPr>
          <w:b/>
          <w:bCs/>
        </w:rPr>
        <w:t xml:space="preserve">Weryfikacja prawna statusu inwestycji (natychmiast):</w:t>
      </w:r>
    </w:p>
    <w:p>
      <w:pPr>
        <w:pStyle w:val="Compact"/>
        <w:numPr>
          <w:ilvl w:val="1"/>
          <w:numId w:val="1025"/>
        </w:numPr>
      </w:pPr>
      <w:r>
        <w:rPr>
          <w:b/>
          <w:bCs/>
        </w:rPr>
        <w:t xml:space="preserve">Czynność:</w:t>
      </w:r>
      <w:r>
        <w:t xml:space="preserve"> </w:t>
      </w:r>
      <w:r>
        <w:t xml:space="preserve">Konsultacja z ekspertem prawa budowlanego w celu jednoznacznego ustalenia, czy dla Państwa farmy fotowoltaicznej w 2023 r. wystarczające było zgłoszenie robót budowlanych, czy wymagane było pozwolenie na budowę.</w:t>
      </w:r>
    </w:p>
    <w:p>
      <w:pPr>
        <w:pStyle w:val="Compact"/>
        <w:numPr>
          <w:ilvl w:val="1"/>
          <w:numId w:val="1025"/>
        </w:numPr>
      </w:pPr>
      <w:r>
        <w:rPr>
          <w:b/>
          <w:bCs/>
        </w:rPr>
        <w:t xml:space="preserve">Cel:</w:t>
      </w:r>
      <w:r>
        <w:t xml:space="preserve"> </w:t>
      </w:r>
      <w:r>
        <w:t xml:space="preserve">Ustalenie mocnych argumentów w kwestii</w:t>
      </w:r>
      <w:r>
        <w:t xml:space="preserve"> </w:t>
      </w:r>
      <w:r>
        <w:t xml:space="preserve">“braku pozwolenia budowlanego”</w:t>
      </w:r>
      <w:r>
        <w:t xml:space="preserve"> </w:t>
      </w:r>
      <w:r>
        <w:t xml:space="preserve">i ocena ryzyka administracyjnego.</w:t>
      </w:r>
    </w:p>
    <w:p>
      <w:pPr>
        <w:pStyle w:val="Compact"/>
        <w:numPr>
          <w:ilvl w:val="0"/>
          <w:numId w:val="1024"/>
        </w:numPr>
      </w:pPr>
      <w:r>
        <w:rPr>
          <w:b/>
          <w:bCs/>
        </w:rPr>
        <w:t xml:space="preserve">Analiza i gromadzenie dokumentacji płatności (do 3 dni):</w:t>
      </w:r>
    </w:p>
    <w:p>
      <w:pPr>
        <w:pStyle w:val="Compact"/>
        <w:numPr>
          <w:ilvl w:val="1"/>
          <w:numId w:val="1026"/>
        </w:numPr>
      </w:pPr>
      <w:r>
        <w:rPr>
          <w:b/>
          <w:bCs/>
        </w:rPr>
        <w:t xml:space="preserve">Czynność:</w:t>
      </w:r>
      <w:r>
        <w:t xml:space="preserve"> </w:t>
      </w:r>
      <w:r>
        <w:t xml:space="preserve">Potwierdzenie wszystkich dat i kwot płatności czynszu [Źródło 2]. Przygotowanie dowodów wpłat (potwierdzenia przelewów).</w:t>
      </w:r>
    </w:p>
    <w:p>
      <w:pPr>
        <w:pStyle w:val="Compact"/>
        <w:numPr>
          <w:ilvl w:val="1"/>
          <w:numId w:val="1026"/>
        </w:numPr>
      </w:pPr>
      <w:r>
        <w:rPr>
          <w:b/>
          <w:bCs/>
        </w:rPr>
        <w:t xml:space="preserve">Cel:</w:t>
      </w:r>
      <w:r>
        <w:t xml:space="preserve"> </w:t>
      </w:r>
      <w:r>
        <w:t xml:space="preserve">Wykazanie uregulowania zaległości i podważenie podstaw odstąpienia.</w:t>
      </w:r>
    </w:p>
    <w:p>
      <w:pPr>
        <w:pStyle w:val="Compact"/>
        <w:numPr>
          <w:ilvl w:val="0"/>
          <w:numId w:val="1024"/>
        </w:numPr>
      </w:pPr>
      <w:r>
        <w:rPr>
          <w:b/>
          <w:bCs/>
        </w:rPr>
        <w:t xml:space="preserve">Przygotowanie i wysłanie pisma do Wydzierżawiającej (do 7 dni):</w:t>
      </w:r>
    </w:p>
    <w:p>
      <w:pPr>
        <w:pStyle w:val="Compact"/>
        <w:numPr>
          <w:ilvl w:val="1"/>
          <w:numId w:val="1027"/>
        </w:numPr>
      </w:pPr>
      <w:r>
        <w:rPr>
          <w:b/>
          <w:bCs/>
        </w:rPr>
        <w:t xml:space="preserve">Czynność:</w:t>
      </w:r>
      <w:r>
        <w:t xml:space="preserve"> </w:t>
      </w:r>
      <w:r>
        <w:t xml:space="preserve">Przygotowanie i wysłanie pisma, w którym formalnie kwestionują Państwo skuteczność odstąpienia od umowy przez Panią M. K.. W piśmie należy wskazać na:</w:t>
      </w:r>
    </w:p>
    <w:p>
      <w:pPr>
        <w:pStyle w:val="Compact"/>
        <w:numPr>
          <w:ilvl w:val="2"/>
          <w:numId w:val="1028"/>
        </w:numPr>
      </w:pPr>
      <w:r>
        <w:t xml:space="preserve">Uregulowanie zaległości czynszowej.</w:t>
      </w:r>
    </w:p>
    <w:p>
      <w:pPr>
        <w:pStyle w:val="Compact"/>
        <w:numPr>
          <w:ilvl w:val="2"/>
          <w:numId w:val="1028"/>
        </w:numPr>
      </w:pPr>
      <w:r>
        <w:t xml:space="preserve">Posiadanie WZ i zgłoszenia robót (powołując się na zgodność z przepisami, o ile weryfikacja z pkt 1 to potwierdzi).</w:t>
      </w:r>
    </w:p>
    <w:p>
      <w:pPr>
        <w:pStyle w:val="Compact"/>
        <w:numPr>
          <w:ilvl w:val="2"/>
          <w:numId w:val="1028"/>
        </w:numPr>
      </w:pPr>
      <w:r>
        <w:t xml:space="preserve">Brak podstaw do kwalifikowania działań Klienta jako</w:t>
      </w:r>
      <w:r>
        <w:t xml:space="preserve"> </w:t>
      </w:r>
      <w:r>
        <w:t xml:space="preserve">“rażącego naruszenia”</w:t>
      </w:r>
      <w:r>
        <w:t xml:space="preserve">.</w:t>
      </w:r>
    </w:p>
    <w:p>
      <w:pPr>
        <w:pStyle w:val="Compact"/>
        <w:numPr>
          <w:ilvl w:val="2"/>
          <w:numId w:val="1028"/>
        </w:numPr>
      </w:pPr>
      <w:r>
        <w:t xml:space="preserve">Wskazanie na obowiązek polubownego rozwiązania sporu (§10.3 Umowy Dzierżawy) [Źródło 1].</w:t>
      </w:r>
    </w:p>
    <w:p>
      <w:pPr>
        <w:pStyle w:val="Compact"/>
        <w:numPr>
          <w:ilvl w:val="2"/>
          <w:numId w:val="1028"/>
        </w:numPr>
      </w:pPr>
      <w:r>
        <w:t xml:space="preserve">Wezwanie do niezwłocznego umożliwienia Klientowi dalszej eksploatacji farmy PV.</w:t>
      </w:r>
    </w:p>
    <w:p>
      <w:pPr>
        <w:pStyle w:val="Compact"/>
        <w:numPr>
          <w:ilvl w:val="1"/>
          <w:numId w:val="1027"/>
        </w:numPr>
      </w:pPr>
      <w:r>
        <w:rPr>
          <w:b/>
          <w:bCs/>
        </w:rPr>
        <w:t xml:space="preserve">Cel:</w:t>
      </w:r>
      <w:r>
        <w:t xml:space="preserve"> </w:t>
      </w:r>
      <w:r>
        <w:t xml:space="preserve">Ustanowienie formalnego stanowiska, próba pozasądowego rozwiązania sporu.</w:t>
      </w:r>
    </w:p>
    <w:p>
      <w:pPr>
        <w:pStyle w:val="Compact"/>
        <w:numPr>
          <w:ilvl w:val="0"/>
          <w:numId w:val="1024"/>
        </w:numPr>
      </w:pPr>
      <w:r>
        <w:rPr>
          <w:b/>
          <w:bCs/>
        </w:rPr>
        <w:t xml:space="preserve">Zabezpieczenie dowodów (na bieżąco):</w:t>
      </w:r>
    </w:p>
    <w:p>
      <w:pPr>
        <w:pStyle w:val="Compact"/>
        <w:numPr>
          <w:ilvl w:val="1"/>
          <w:numId w:val="1029"/>
        </w:numPr>
      </w:pPr>
      <w:r>
        <w:rPr>
          <w:b/>
          <w:bCs/>
        </w:rPr>
        <w:t xml:space="preserve">Czynność:</w:t>
      </w:r>
      <w:r>
        <w:t xml:space="preserve"> </w:t>
      </w:r>
      <w:r>
        <w:t xml:space="preserve">Zabezpieczenie wszelkiej korespondencji (e-mail, pisemnej) z Wydzierżawiającą, protokołów przekazania terenu, dokumentacji projektowej i wykonawczej farmy PV.</w:t>
      </w:r>
    </w:p>
    <w:p>
      <w:pPr>
        <w:pStyle w:val="Compact"/>
        <w:numPr>
          <w:ilvl w:val="1"/>
          <w:numId w:val="1029"/>
        </w:numPr>
      </w:pPr>
      <w:r>
        <w:rPr>
          <w:b/>
          <w:bCs/>
        </w:rPr>
        <w:t xml:space="preserve">Czynność:</w:t>
      </w:r>
      <w:r>
        <w:t xml:space="preserve"> </w:t>
      </w:r>
      <w:r>
        <w:t xml:space="preserve">Rozważenie wykonania bieżących zdjęć dokumentujących stan farmy i terenu.</w:t>
      </w:r>
    </w:p>
    <w:p>
      <w:pPr>
        <w:pStyle w:val="Compact"/>
        <w:numPr>
          <w:ilvl w:val="1"/>
          <w:numId w:val="1029"/>
        </w:numPr>
      </w:pPr>
      <w:r>
        <w:rPr>
          <w:b/>
          <w:bCs/>
        </w:rPr>
        <w:t xml:space="preserve">Cel:</w:t>
      </w:r>
      <w:r>
        <w:t xml:space="preserve"> </w:t>
      </w:r>
      <w:r>
        <w:t xml:space="preserve">Przygotowanie do ewentualnego postępowania sądowego i obrona przed roszczeniami Wydzierżawiającej.</w:t>
      </w:r>
    </w:p>
    <w:p>
      <w:pPr>
        <w:pStyle w:val="Compact"/>
        <w:numPr>
          <w:ilvl w:val="0"/>
          <w:numId w:val="1024"/>
        </w:numPr>
      </w:pPr>
      <w:r>
        <w:rPr>
          <w:b/>
          <w:bCs/>
        </w:rPr>
        <w:t xml:space="preserve">Rozważenie powództwa sądowego i wniosku o zabezpieczenie (po bezskuteczności próby polubownej):</w:t>
      </w:r>
    </w:p>
    <w:p>
      <w:pPr>
        <w:pStyle w:val="Compact"/>
        <w:numPr>
          <w:ilvl w:val="1"/>
          <w:numId w:val="1030"/>
        </w:numPr>
      </w:pPr>
      <w:r>
        <w:rPr>
          <w:b/>
          <w:bCs/>
        </w:rPr>
        <w:t xml:space="preserve">Czynność:</w:t>
      </w:r>
      <w:r>
        <w:t xml:space="preserve"> </w:t>
      </w:r>
      <w:r>
        <w:t xml:space="preserve">W przypadku braku pozytywnej odpowiedzi od Wydzierżawiającej na pismo z pkt 3, lub braku gotowości do mediacji, niezwłoczne przygotowanie i złożenie Pozwu o ustalenie istnienia stosunku prawnego dzierżawy wraz z Wnioskiem o zabezpieczenie powództwa.</w:t>
      </w:r>
    </w:p>
    <w:p>
      <w:pPr>
        <w:pStyle w:val="Compact"/>
        <w:numPr>
          <w:ilvl w:val="1"/>
          <w:numId w:val="1030"/>
        </w:numPr>
      </w:pPr>
      <w:r>
        <w:rPr>
          <w:b/>
          <w:bCs/>
        </w:rPr>
        <w:t xml:space="preserve">Cel:</w:t>
      </w:r>
      <w:r>
        <w:t xml:space="preserve"> </w:t>
      </w:r>
      <w:r>
        <w:t xml:space="preserve">Ochrona inwestycji przed demontażem i rozporządzeniem gruntem, oficjalne rozstrzygnięcie sporu przez sąd.</w:t>
      </w:r>
    </w:p>
    <w:p>
      <w:pPr>
        <w:pStyle w:val="FirstParagraph"/>
      </w:pPr>
      <w:r>
        <w:t xml:space="preserve">[[PROPOSE_DOC: Pismo kwestionujące skuteczność odstąpienia od umowy dzierżawy]]</w:t>
      </w:r>
      <w:r>
        <w:t xml:space="preserve"> </w:t>
      </w:r>
      <w:r>
        <w:t xml:space="preserve">[[PROPOSE_DOC: Pozew o ustalenie istnienia stosunku prawnego dzierżawy]]</w:t>
      </w:r>
      <w:r>
        <w:t xml:space="preserve"> </w:t>
      </w:r>
      <w:r>
        <w:t xml:space="preserve">[[PROPOSE_DOC: Wniosek o zabezpieczenie powództwa]]</w:t>
      </w:r>
    </w:p>
    <w:p>
      <w:r>
        <w:pict>
          <v:rect style="width:0;height:1.5pt" o:hralign="center" o:hrstd="t" o:hr="t"/>
        </w:pict>
      </w:r>
    </w:p>
    <w:bookmarkEnd w:id="47"/>
    <w:bookmarkEnd w:id="4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2026-10-05T19:14:15Z</dcterms:created>
  <dcterms:modified xsi:type="dcterms:W3CDTF">2026-10-05T19:14:15Z</dcterms:modified>
</cp:coreProperties>
</file>

<file path=docProps/custom.xml><?xml version="1.0" encoding="utf-8"?>
<Properties xmlns="http://schemas.openxmlformats.org/officeDocument/2006/custom-properties" xmlns:vt="http://schemas.openxmlformats.org/officeDocument/2006/docPropsVTypes"/>
</file>