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9" w:name="sprawa-061-rozwiązanie-casebox"/>
    <w:p>
      <w:pPr>
        <w:pStyle w:val="Heading1"/>
      </w:pPr>
      <w:r>
        <w:t xml:space="preserve">Sprawa 061 — rozwiązanie CaseBox</w:t>
      </w:r>
    </w:p>
    <w:bookmarkStart w:id="9" w:name="część-ii.-rozwiązanie-case-project-api"/>
    <w:p>
      <w:pPr>
        <w:pStyle w:val="Heading2"/>
      </w:pPr>
      <w:r>
        <w:t xml:space="preserve">CZĘŚĆ II. ROZWIĄZANIE (Case Project API)</w:t>
      </w:r>
    </w:p>
    <w:p>
      <w:pPr>
        <w:pStyle w:val="FirstParagraph"/>
      </w:pPr>
      <w:r>
        <w:t xml:space="preserve">Szanowni Państwo,</w:t>
      </w:r>
    </w:p>
    <w:p>
      <w:pPr>
        <w:pStyle w:val="BodyText"/>
      </w:pPr>
      <w:r>
        <w:t xml:space="preserve">Poniżej przedstawiamy kompleksową analizę Państwa sprawy, obejmującą opinię prawną, ocenę zagadnień, wyliczenie roszczeń, rejestr ryzyk i szans, projekty pism oraz instrukcję kolejnych kroków, zgodnie z Państwa zapotrzebowaniem.</w:t>
      </w:r>
    </w:p>
    <w:bookmarkEnd w:id="9"/>
    <w:bookmarkStart w:id="10" w:name="podsumowanie-sprawy"/>
    <w:p>
      <w:pPr>
        <w:pStyle w:val="Heading2"/>
      </w:pPr>
      <w:r>
        <w:t xml:space="preserve">Podsumowanie sprawy</w:t>
      </w:r>
    </w:p>
    <w:p>
      <w:pPr>
        <w:pStyle w:val="FirstParagraph"/>
      </w:pPr>
      <w:r>
        <w:t xml:space="preserve">Sprawa dotyczy sporu wynikającego z umowy najmu lokalu użytkowego nr UM/██/2024 z dnia 15 stycznia 2024 r. [Źródło 1], zawartej między Panią Martą Agnieszką M. A. N. (M. A. N., prowadzącą Kawiarnia „C. S.”) a Panem Tomaszem Piotrem Kaczmarkiem (T. P. K.). Przedmiotem najmu był lokal przy Warszawa w Warszawie na okres trzech lat (01.03.2024 – 28.02.2027) [Źródło 1]. Początkowo, protokół techniczny z 15 stycznia 2024 r. wskazywał na drobne przecieki i wilgoć. Po rozpoczęciu najmu (1 marca 2024 r.), w okresie od marca do maja 2024 r. ujawniły się jednak znacznie poważniejsze wady lokalu, uniemożliwiające prowadzenie działalności gastronomicznej, takie jak znaczące przecieki, awarie wentylacji i nasilająca się wilgoć [Źródło 1].</w:t>
      </w:r>
    </w:p>
    <w:p>
      <w:pPr>
        <w:pStyle w:val="BodyText"/>
      </w:pPr>
      <w:r>
        <w:t xml:space="preserve">W odpowiedzi na te wady, M. A. N. wezwał Wynajmującego do ich usunięcia (██ kwietnia 2024 r.), ale ten zaproponował jedynie „drobne naprawy” [Źródło 1]. W związku z brakiem skutecznych działań ze strony Wynajmującego i niemożnością korzystania z lokalu zgodnie z przeznaczeniem, M. A. N. wstrzymał płatność czynszu za maj 2024 r. (6 000,00 zł netto) oraz potrącił kwotę 2 450,00 zł netto za wykonane doraźne naprawy [Źródło 1]. W odpowiedzi, T. P. K. wezwał do zapłaty zaległego czynszu, opłaty administracyjnej w kwocie 800,00 zł netto (bez załączonego cennika) oraz odsetek (██ maja 2024 r.) [Źródło 1]. Następnie, ██ maja 2024 r., T. P. K. wypowiedział umowę ze skutkiem natychmiastowym, zarzucając brak płatności czynszu, rzekomy podnajem bez zgody oraz nieautoryzowane przeróbki. Jednocześnie zatrzymał całą kaucję w wysokości 18 000,00 zł i zażądał dodatkowo 36 000,00 zł kary umownej/utraconych korzyści [Źródło 1]. Całość konfliktu dopełnia jednostronny protokół zdawczo-odbiorczy z ██ maja 2024 r., sporządzony przez Wynajmującego, stwierdzający rzekome zniszczenia i koszty naprawy w wysokości 24 500,00 zł brutto [Źródło 1].</w:t>
      </w:r>
    </w:p>
    <w:p>
      <w:pPr>
        <w:pStyle w:val="BodyText"/>
      </w:pPr>
      <w:r>
        <w:t xml:space="preserve">Zadaniem kancelarii jest kompleksowa ocena tej sytuacji prawnej i przygotowanie strategii działania dla Najemcy.</w:t>
      </w:r>
    </w:p>
    <w:bookmarkEnd w:id="10"/>
    <w:bookmarkStart w:id="11" w:name="kluczowe-dane"/>
    <w:p>
      <w:pPr>
        <w:pStyle w:val="Heading2"/>
      </w:pPr>
      <w:r>
        <w:t xml:space="preserve">Kluczowe dane</w:t>
      </w:r>
    </w:p>
    <w:p>
      <w:pPr>
        <w:pStyle w:val="Compact"/>
        <w:numPr>
          <w:ilvl w:val="0"/>
          <w:numId w:val="1001"/>
        </w:numPr>
      </w:pPr>
      <w:r>
        <w:rPr>
          <w:b/>
          <w:bCs/>
        </w:rPr>
        <w:t xml:space="preserve">M. A. N. (Klient):</w:t>
      </w:r>
      <w:r>
        <w:t xml:space="preserve"> </w:t>
      </w:r>
      <w:r>
        <w:t xml:space="preserve">M. A. N., prowadząca Kawiarnia „C. S.” [Źródło 1].</w:t>
      </w:r>
    </w:p>
    <w:p>
      <w:pPr>
        <w:pStyle w:val="Compact"/>
        <w:numPr>
          <w:ilvl w:val="0"/>
          <w:numId w:val="1001"/>
        </w:numPr>
      </w:pPr>
      <w:r>
        <w:rPr>
          <w:b/>
          <w:bCs/>
        </w:rPr>
        <w:t xml:space="preserve">T. P. K. (Strona przeciwna):</w:t>
      </w:r>
      <w:r>
        <w:t xml:space="preserve"> </w:t>
      </w:r>
      <w:r>
        <w:t xml:space="preserve">T. P. K., właściciel lokalu użytkowego [Źródło 1].</w:t>
      </w:r>
    </w:p>
    <w:p>
      <w:pPr>
        <w:pStyle w:val="Compact"/>
        <w:numPr>
          <w:ilvl w:val="0"/>
          <w:numId w:val="1001"/>
        </w:numPr>
      </w:pPr>
      <w:r>
        <w:rPr>
          <w:b/>
          <w:bCs/>
        </w:rPr>
        <w:t xml:space="preserve">Umowa:</w:t>
      </w:r>
      <w:r>
        <w:t xml:space="preserve"> </w:t>
      </w:r>
      <w:r>
        <w:t xml:space="preserve">Najmu lokalu użytkowego nr UM/██/2024 z dnia 15 stycznia 2024 r. [Źródło 1].</w:t>
      </w:r>
    </w:p>
    <w:p>
      <w:pPr>
        <w:pStyle w:val="Compact"/>
        <w:numPr>
          <w:ilvl w:val="0"/>
          <w:numId w:val="1001"/>
        </w:numPr>
      </w:pPr>
      <w:r>
        <w:rPr>
          <w:b/>
          <w:bCs/>
        </w:rPr>
        <w:t xml:space="preserve">Przedmiot umowy:</w:t>
      </w:r>
      <w:r>
        <w:t xml:space="preserve"> </w:t>
      </w:r>
      <w:r>
        <w:t xml:space="preserve">Najem lokalu użytkowego przy Warszawa w Warszawie [Źródło 1].</w:t>
      </w:r>
    </w:p>
    <w:p>
      <w:pPr>
        <w:pStyle w:val="Compact"/>
        <w:numPr>
          <w:ilvl w:val="0"/>
          <w:numId w:val="1001"/>
        </w:numPr>
      </w:pPr>
      <w:r>
        <w:rPr>
          <w:b/>
          <w:bCs/>
        </w:rPr>
        <w:t xml:space="preserve">Okres najmu:</w:t>
      </w:r>
      <w:r>
        <w:t xml:space="preserve"> </w:t>
      </w:r>
      <w:r>
        <w:t xml:space="preserve">3 lata (01.03.2024 – 28.02.2027) [Źródło 1].</w:t>
      </w:r>
    </w:p>
    <w:p>
      <w:pPr>
        <w:pStyle w:val="Compact"/>
        <w:numPr>
          <w:ilvl w:val="0"/>
          <w:numId w:val="1001"/>
        </w:numPr>
      </w:pPr>
      <w:r>
        <w:rPr>
          <w:b/>
          <w:bCs/>
        </w:rPr>
        <w:t xml:space="preserve">Czynsz:</w:t>
      </w:r>
      <w:r>
        <w:t xml:space="preserve"> </w:t>
      </w:r>
      <w:r>
        <w:t xml:space="preserve">6 000,00 zł netto miesięcznie + 23% VAT [Źródło 1].</w:t>
      </w:r>
    </w:p>
    <w:p>
      <w:pPr>
        <w:pStyle w:val="Compact"/>
        <w:numPr>
          <w:ilvl w:val="0"/>
          <w:numId w:val="1001"/>
        </w:numPr>
      </w:pPr>
      <w:r>
        <w:rPr>
          <w:b/>
          <w:bCs/>
        </w:rPr>
        <w:t xml:space="preserve">Kaucja:</w:t>
      </w:r>
      <w:r>
        <w:t xml:space="preserve"> </w:t>
      </w:r>
      <w:r>
        <w:t xml:space="preserve">18 000,00 zł (równowartość 3-miesięcznego czynszu), wpłacona 28 lutego 2024 r. [Źródło 1].</w:t>
      </w:r>
    </w:p>
    <w:p>
      <w:pPr>
        <w:pStyle w:val="Compact"/>
        <w:numPr>
          <w:ilvl w:val="0"/>
          <w:numId w:val="1001"/>
        </w:numPr>
      </w:pPr>
      <w:r>
        <w:rPr>
          <w:b/>
          <w:bCs/>
        </w:rPr>
        <w:t xml:space="preserve">Data wpłaty kaucji:</w:t>
      </w:r>
      <w:r>
        <w:t xml:space="preserve"> </w:t>
      </w:r>
      <w:r>
        <w:t xml:space="preserve">28 lutego 2024 r. [Źródło 1].</w:t>
      </w:r>
    </w:p>
    <w:p>
      <w:pPr>
        <w:pStyle w:val="Compact"/>
        <w:numPr>
          <w:ilvl w:val="0"/>
          <w:numId w:val="1001"/>
        </w:numPr>
      </w:pPr>
      <w:r>
        <w:rPr>
          <w:b/>
          <w:bCs/>
        </w:rPr>
        <w:t xml:space="preserve">Protokół techniczny wstępny:</w:t>
      </w:r>
      <w:r>
        <w:t xml:space="preserve"> </w:t>
      </w:r>
      <w:r>
        <w:t xml:space="preserve">15 stycznia 2024 r. (drobne przecieki i wilgoć) [Źródło 1].</w:t>
      </w:r>
    </w:p>
    <w:p>
      <w:pPr>
        <w:pStyle w:val="Compact"/>
        <w:numPr>
          <w:ilvl w:val="0"/>
          <w:numId w:val="1001"/>
        </w:numPr>
      </w:pPr>
      <w:r>
        <w:rPr>
          <w:b/>
          <w:bCs/>
        </w:rPr>
        <w:t xml:space="preserve">Wezwanie Najemcy do usunięcia usterek:</w:t>
      </w:r>
      <w:r>
        <w:t xml:space="preserve"> </w:t>
      </w:r>
      <w:r>
        <w:t xml:space="preserve">██ kwietnia 2024 r. [Źródło 1].</w:t>
      </w:r>
    </w:p>
    <w:p>
      <w:pPr>
        <w:pStyle w:val="Compact"/>
        <w:numPr>
          <w:ilvl w:val="0"/>
          <w:numId w:val="1001"/>
        </w:numPr>
      </w:pPr>
      <w:r>
        <w:rPr>
          <w:b/>
          <w:bCs/>
        </w:rPr>
        <w:t xml:space="preserve">Wstrzymanie płatności czynszu przez Najemcę:</w:t>
      </w:r>
      <w:r>
        <w:t xml:space="preserve"> </w:t>
      </w:r>
      <w:r>
        <w:t xml:space="preserve">Za maj 2024 r. [Źródło 1].</w:t>
      </w:r>
    </w:p>
    <w:p>
      <w:pPr>
        <w:pStyle w:val="Compact"/>
        <w:numPr>
          <w:ilvl w:val="0"/>
          <w:numId w:val="1001"/>
        </w:numPr>
      </w:pPr>
      <w:r>
        <w:rPr>
          <w:b/>
          <w:bCs/>
        </w:rPr>
        <w:t xml:space="preserve">Potrącenie kosztów napraw doraźnych przez Najemcę:</w:t>
      </w:r>
      <w:r>
        <w:t xml:space="preserve"> </w:t>
      </w:r>
      <w:r>
        <w:t xml:space="preserve">2 450,00 zł netto [Źródło 1].</w:t>
      </w:r>
    </w:p>
    <w:p>
      <w:pPr>
        <w:pStyle w:val="Compact"/>
        <w:numPr>
          <w:ilvl w:val="0"/>
          <w:numId w:val="1001"/>
        </w:numPr>
      </w:pPr>
      <w:r>
        <w:rPr>
          <w:b/>
          <w:bCs/>
        </w:rPr>
        <w:t xml:space="preserve">Wezwanie Wynajmującego do zapłaty:</w:t>
      </w:r>
      <w:r>
        <w:t xml:space="preserve"> </w:t>
      </w:r>
      <w:r>
        <w:t xml:space="preserve">██ maja 2024 r. (6 000,00 zł netto czynszu, 800,00 zł netto opłaty administracyjnej, odsetki) [Źródło 1].</w:t>
      </w:r>
    </w:p>
    <w:p>
      <w:pPr>
        <w:pStyle w:val="Compact"/>
        <w:numPr>
          <w:ilvl w:val="0"/>
          <w:numId w:val="1001"/>
        </w:numPr>
      </w:pPr>
      <w:r>
        <w:rPr>
          <w:b/>
          <w:bCs/>
        </w:rPr>
        <w:t xml:space="preserve">Wypowiedzenie umowy przez Wynajmującego:</w:t>
      </w:r>
      <w:r>
        <w:t xml:space="preserve"> </w:t>
      </w:r>
      <w:r>
        <w:t xml:space="preserve">██ maja 2024 r. (skutek natychmiastowy) [Źródło 1].</w:t>
      </w:r>
    </w:p>
    <w:p>
      <w:pPr>
        <w:pStyle w:val="Compact"/>
        <w:numPr>
          <w:ilvl w:val="0"/>
          <w:numId w:val="1001"/>
        </w:numPr>
      </w:pPr>
      <w:r>
        <w:rPr>
          <w:b/>
          <w:bCs/>
        </w:rPr>
        <w:t xml:space="preserve">Zatrzymana kaucja przez Wynajmującego:</w:t>
      </w:r>
      <w:r>
        <w:t xml:space="preserve"> </w:t>
      </w:r>
      <w:r>
        <w:t xml:space="preserve">18 000,00 zł [Źródło 1].</w:t>
      </w:r>
    </w:p>
    <w:p>
      <w:pPr>
        <w:pStyle w:val="Compact"/>
        <w:numPr>
          <w:ilvl w:val="0"/>
          <w:numId w:val="1001"/>
        </w:numPr>
      </w:pPr>
      <w:r>
        <w:rPr>
          <w:b/>
          <w:bCs/>
        </w:rPr>
        <w:t xml:space="preserve">Żądana kara umowna/utracone korzyści przez Wynajmującego:</w:t>
      </w:r>
      <w:r>
        <w:t xml:space="preserve"> </w:t>
      </w:r>
      <w:r>
        <w:t xml:space="preserve">36 000,00 zł [Źródło 1].</w:t>
      </w:r>
    </w:p>
    <w:p>
      <w:pPr>
        <w:pStyle w:val="Compact"/>
        <w:numPr>
          <w:ilvl w:val="0"/>
          <w:numId w:val="1001"/>
        </w:numPr>
      </w:pPr>
      <w:r>
        <w:rPr>
          <w:b/>
          <w:bCs/>
        </w:rPr>
        <w:t xml:space="preserve">Jednostronny protokół zdawczo-odbiorczy Wynajmującego:</w:t>
      </w:r>
      <w:r>
        <w:t xml:space="preserve"> </w:t>
      </w:r>
      <w:r>
        <w:t xml:space="preserve">██ maja 2024 r. (koszty naprawy 24 500,00 zł brutto) [Źródło 1].</w:t>
      </w:r>
    </w:p>
    <w:p>
      <w:pPr>
        <w:pStyle w:val="Compact"/>
        <w:numPr>
          <w:ilvl w:val="0"/>
          <w:numId w:val="1001"/>
        </w:numPr>
      </w:pPr>
      <w:r>
        <w:rPr>
          <w:b/>
          <w:bCs/>
        </w:rPr>
        <w:t xml:space="preserve">Kara umowna za rozwiązanie umowy z winy Najemcy (§12):</w:t>
      </w:r>
      <w:r>
        <w:t xml:space="preserve"> </w:t>
      </w:r>
      <w:r>
        <w:t xml:space="preserve">6-miesięczny czynsz [Źródło 1].</w:t>
      </w:r>
    </w:p>
    <w:p>
      <w:pPr>
        <w:pStyle w:val="Compact"/>
        <w:numPr>
          <w:ilvl w:val="0"/>
          <w:numId w:val="1001"/>
        </w:numPr>
      </w:pPr>
      <w:r>
        <w:rPr>
          <w:b/>
          <w:bCs/>
        </w:rPr>
        <w:t xml:space="preserve">Klauzula dot. adaptacji (§7 ust. 1):</w:t>
      </w:r>
      <w:r>
        <w:t xml:space="preserve"> </w:t>
      </w:r>
      <w:r>
        <w:t xml:space="preserve">Instalacje stałe stają się własnością Wynajmującego bez odszkodowania [Źródło 1].</w:t>
      </w:r>
    </w:p>
    <w:p>
      <w:pPr>
        <w:pStyle w:val="Compact"/>
        <w:numPr>
          <w:ilvl w:val="0"/>
          <w:numId w:val="1001"/>
        </w:numPr>
      </w:pPr>
      <w:r>
        <w:rPr>
          <w:b/>
          <w:bCs/>
        </w:rPr>
        <w:t xml:space="preserve">Klauzula dot. zakazu podnajmu/cesji (§9 ust. 3):</w:t>
      </w:r>
      <w:r>
        <w:t xml:space="preserve"> </w:t>
      </w:r>
      <w:r>
        <w:t xml:space="preserve">Bez pisemnej zgody Wynajmującego; naruszenie skutkuje natychmiastowym wypowiedzeniem i zatrzymaniem kaucji jako kary umownej [Źródło 1].</w:t>
      </w:r>
    </w:p>
    <w:p>
      <w:pPr>
        <w:pStyle w:val="Compact"/>
        <w:numPr>
          <w:ilvl w:val="0"/>
          <w:numId w:val="1001"/>
        </w:numPr>
      </w:pPr>
      <w:r>
        <w:rPr>
          <w:b/>
          <w:bCs/>
        </w:rPr>
        <w:t xml:space="preserve">Klauzula dot. opłaty administracyjnej (§6 ust. 4):</w:t>
      </w:r>
      <w:r>
        <w:t xml:space="preserve"> </w:t>
      </w:r>
      <w:r>
        <w:t xml:space="preserve">Zgodnie z cennikiem Wynajmującego (cennik niezałączony) [Źródło 1].</w:t>
      </w:r>
    </w:p>
    <w:bookmarkEnd w:id="11"/>
    <w:bookmarkStart w:id="12" w:name="żądania-i-twierdzenia-stron"/>
    <w:p>
      <w:pPr>
        <w:pStyle w:val="Heading2"/>
      </w:pPr>
      <w:r>
        <w:t xml:space="preserve">Żądania i twierdzenia stron</w:t>
      </w:r>
    </w:p>
    <w:p>
      <w:pPr>
        <w:pStyle w:val="FirstParagraph"/>
      </w:pPr>
      <w:r>
        <w:rPr>
          <w:b/>
          <w:bCs/>
        </w:rPr>
        <w:t xml:space="preserve">M. A. N. (M. A. N.):</w:t>
      </w:r>
      <w:r>
        <w:t xml:space="preserve"> </w:t>
      </w:r>
      <w:r>
        <w:t xml:space="preserve">1.</w:t>
      </w:r>
      <w:r>
        <w:t xml:space="preserve"> </w:t>
      </w:r>
      <w:r>
        <w:rPr>
          <w:b/>
          <w:bCs/>
        </w:rPr>
        <w:t xml:space="preserve">Wstrzymanie czynszu:</w:t>
      </w:r>
      <w:r>
        <w:t xml:space="preserve"> </w:t>
      </w:r>
      <w:r>
        <w:t xml:space="preserve">Twierdzi, że wstrzymanie płatności czynszu było uzasadnione poważnymi wadami lokalu, które uniemożliwiały prowadzenie działalności gastronomicznej i zagrażały sanitarnie, a także brakiem reakcji Wynajmującego na wezwanie do usunięcia usterek [Źródło 1].</w:t>
      </w:r>
      <w:r>
        <w:t xml:space="preserve"> </w:t>
      </w:r>
      <w:r>
        <w:t xml:space="preserve">2.</w:t>
      </w:r>
      <w:r>
        <w:t xml:space="preserve"> </w:t>
      </w:r>
      <w:r>
        <w:rPr>
          <w:b/>
          <w:bCs/>
        </w:rPr>
        <w:t xml:space="preserve">Potrącenie kosztów napraw:</w:t>
      </w:r>
      <w:r>
        <w:t xml:space="preserve"> </w:t>
      </w:r>
      <w:r>
        <w:t xml:space="preserve">Uznaje za zasadne potrącenie 2 450,00 zł netto za doraźne naprawy, informując o wznowieniu płatności czynszu po usunięciu usterek [Źródło 1].</w:t>
      </w:r>
      <w:r>
        <w:t xml:space="preserve"> </w:t>
      </w:r>
      <w:r>
        <w:t xml:space="preserve">3.</w:t>
      </w:r>
      <w:r>
        <w:t xml:space="preserve"> </w:t>
      </w:r>
      <w:r>
        <w:rPr>
          <w:b/>
          <w:bCs/>
        </w:rPr>
        <w:t xml:space="preserve">Opłata administracyjna:</w:t>
      </w:r>
      <w:r>
        <w:t xml:space="preserve"> </w:t>
      </w:r>
      <w:r>
        <w:t xml:space="preserve">Kwestionuje zasadność opłaty administracyjnej w wysokości 800,00 zł netto, wskazując na brak załączonego cennika i nieokreśloność tej opłaty w umowie [Źródło 1].</w:t>
      </w:r>
      <w:r>
        <w:t xml:space="preserve"> </w:t>
      </w:r>
      <w:r>
        <w:t xml:space="preserve">4.</w:t>
      </w:r>
      <w:r>
        <w:t xml:space="preserve"> </w:t>
      </w:r>
      <w:r>
        <w:rPr>
          <w:b/>
          <w:bCs/>
        </w:rPr>
        <w:t xml:space="preserve">Zatrzymanie kaucji:</w:t>
      </w:r>
      <w:r>
        <w:t xml:space="preserve"> </w:t>
      </w:r>
      <w:r>
        <w:t xml:space="preserve">Uważa zatrzymanie całej kaucji (18 000,00 zł) za bezzasadne [Źródło 1].</w:t>
      </w:r>
      <w:r>
        <w:t xml:space="preserve"> </w:t>
      </w:r>
      <w:r>
        <w:t xml:space="preserve">5.</w:t>
      </w:r>
      <w:r>
        <w:t xml:space="preserve"> </w:t>
      </w:r>
      <w:r>
        <w:rPr>
          <w:b/>
          <w:bCs/>
        </w:rPr>
        <w:t xml:space="preserve">Koszty napraw rzekomych zniszczeń:</w:t>
      </w:r>
      <w:r>
        <w:t xml:space="preserve"> </w:t>
      </w:r>
      <w:r>
        <w:t xml:space="preserve">Twierdzi, że koszty napraw wskazane w jednostronnym protokole zdawczo-odbiorczym są zawyżone [Źródło 1].</w:t>
      </w:r>
      <w:r>
        <w:t xml:space="preserve"> </w:t>
      </w:r>
      <w:r>
        <w:t xml:space="preserve">6.</w:t>
      </w:r>
      <w:r>
        <w:t xml:space="preserve"> </w:t>
      </w:r>
      <w:r>
        <w:rPr>
          <w:b/>
          <w:bCs/>
        </w:rPr>
        <w:t xml:space="preserve">Zapewnienie lokalu:</w:t>
      </w:r>
      <w:r>
        <w:t xml:space="preserve"> </w:t>
      </w:r>
      <w:r>
        <w:t xml:space="preserve">Podkreśla, że T. P. K. nie zapewnił lokalu zgodnego z przeznaczeniem [Źródło 1].</w:t>
      </w:r>
    </w:p>
    <w:p>
      <w:pPr>
        <w:pStyle w:val="BodyText"/>
      </w:pPr>
      <w:r>
        <w:rPr>
          <w:b/>
          <w:bCs/>
        </w:rPr>
        <w:t xml:space="preserve">T. P. K.:</w:t>
      </w:r>
      <w:r>
        <w:t xml:space="preserve"> </w:t>
      </w:r>
      <w:r>
        <w:t xml:space="preserve">1.</w:t>
      </w:r>
      <w:r>
        <w:t xml:space="preserve"> </w:t>
      </w:r>
      <w:r>
        <w:rPr>
          <w:b/>
          <w:bCs/>
        </w:rPr>
        <w:t xml:space="preserve">Brak płatności czynszu:</w:t>
      </w:r>
      <w:r>
        <w:t xml:space="preserve"> </w:t>
      </w:r>
      <w:r>
        <w:t xml:space="preserve">Twierdzi, że M. A. N. nie dokonała płatności czynszu za maj 2024 r. [Źródło 1].</w:t>
      </w:r>
      <w:r>
        <w:t xml:space="preserve"> </w:t>
      </w:r>
      <w:r>
        <w:t xml:space="preserve">2.</w:t>
      </w:r>
      <w:r>
        <w:t xml:space="preserve"> </w:t>
      </w:r>
      <w:r>
        <w:rPr>
          <w:b/>
          <w:bCs/>
        </w:rPr>
        <w:t xml:space="preserve">Opłata administracyjna i odsetki:</w:t>
      </w:r>
      <w:r>
        <w:t xml:space="preserve"> </w:t>
      </w:r>
      <w:r>
        <w:t xml:space="preserve">Żąda zapłaty 800,00 zł netto opłaty administracyjnej oraz odsetek [Źródło 1].</w:t>
      </w:r>
      <w:r>
        <w:t xml:space="preserve"> </w:t>
      </w:r>
      <w:r>
        <w:t xml:space="preserve">3.</w:t>
      </w:r>
      <w:r>
        <w:t xml:space="preserve"> </w:t>
      </w:r>
      <w:r>
        <w:rPr>
          <w:b/>
          <w:bCs/>
        </w:rPr>
        <w:t xml:space="preserve">Wypowiedzenie umowy:</w:t>
      </w:r>
      <w:r>
        <w:t xml:space="preserve"> </w:t>
      </w:r>
      <w:r>
        <w:t xml:space="preserve">Wypowiedział umowę ze skutkiem natychmiastowym, zarzucając brak płatności czynszu, podnajem bez zgody oraz nieautoryzowane przeróbki lokalu [Źródło 1].</w:t>
      </w:r>
      <w:r>
        <w:t xml:space="preserve"> </w:t>
      </w:r>
      <w:r>
        <w:t xml:space="preserve">4.</w:t>
      </w:r>
      <w:r>
        <w:t xml:space="preserve"> </w:t>
      </w:r>
      <w:r>
        <w:rPr>
          <w:b/>
          <w:bCs/>
        </w:rPr>
        <w:t xml:space="preserve">Zatrzymanie kaucji:</w:t>
      </w:r>
      <w:r>
        <w:t xml:space="preserve"> </w:t>
      </w:r>
      <w:r>
        <w:t xml:space="preserve">Zatrzymuje całą kaucję (18 000,00 zł) na pokrycie szkód i kar umownych [Źródło 1].</w:t>
      </w:r>
      <w:r>
        <w:t xml:space="preserve"> </w:t>
      </w:r>
      <w:r>
        <w:t xml:space="preserve">5.</w:t>
      </w:r>
      <w:r>
        <w:t xml:space="preserve"> </w:t>
      </w:r>
      <w:r>
        <w:rPr>
          <w:b/>
          <w:bCs/>
        </w:rPr>
        <w:t xml:space="preserve">Kary umowne/utracone korzyści:</w:t>
      </w:r>
      <w:r>
        <w:t xml:space="preserve"> </w:t>
      </w:r>
      <w:r>
        <w:t xml:space="preserve">Żąda dodatkowo 36 000,00 zł kary umownej/utraconych korzyści z tytułu rozwiązania umowy [Źródło 1].</w:t>
      </w:r>
      <w:r>
        <w:t xml:space="preserve"> </w:t>
      </w:r>
      <w:r>
        <w:t xml:space="preserve">6.</w:t>
      </w:r>
      <w:r>
        <w:t xml:space="preserve"> </w:t>
      </w:r>
      <w:r>
        <w:rPr>
          <w:b/>
          <w:bCs/>
        </w:rPr>
        <w:t xml:space="preserve">Szkody w lokalu:</w:t>
      </w:r>
      <w:r>
        <w:t xml:space="preserve"> </w:t>
      </w:r>
      <w:r>
        <w:t xml:space="preserve">Wskazuje na rzekome zniszczenia i koszty naprawy 24 500,00 zł brutto w jednostronnym protokole zdawczo-odbiorczym [Źródło 1].</w:t>
      </w:r>
    </w:p>
    <w:bookmarkEnd w:id="12"/>
    <w:bookmarkStart w:id="16" w:name="ocena-prawna"/>
    <w:p>
      <w:pPr>
        <w:pStyle w:val="Heading2"/>
      </w:pPr>
      <w:r>
        <w:t xml:space="preserve">Ocena prawna</w:t>
      </w:r>
    </w:p>
    <w:bookmarkStart w:id="13" w:name="X263ca2cb9809e7e04400737c253c1e9312bf1d9"/>
    <w:p>
      <w:pPr>
        <w:pStyle w:val="Heading3"/>
      </w:pPr>
      <w:r>
        <w:t xml:space="preserve">I. Kwalifikacja prawna stanu faktycznego i ocena ważności/skuteczności postanowień umowy oraz czynności stron</w:t>
      </w:r>
    </w:p>
    <w:p>
      <w:pPr>
        <w:pStyle w:val="Compact"/>
        <w:numPr>
          <w:ilvl w:val="0"/>
          <w:numId w:val="1002"/>
        </w:numPr>
      </w:pPr>
      <w:r>
        <w:rPr>
          <w:b/>
          <w:bCs/>
        </w:rPr>
        <w:t xml:space="preserve">Rodzaj umowy:</w:t>
      </w:r>
      <w:r>
        <w:t xml:space="preserve"> </w:t>
      </w:r>
      <w:r>
        <w:t xml:space="preserve">Umowa najmu lokalu użytkowego podlega przepisom Kodeksu cywilnego, w szczególności art. 659 i następnych Kodeksu cywilnego. Jest to umowa wzajemna, gdzie T. P. K. zobowiązuje się oddać Najemcy rzecz do używania przez czas oznaczony lub nieoznaczony, a M. A. N. zobowiązuje się płacić Wynajmującemu umówiony czynsz [Kodeks cywilny, art. 659 § 1].</w:t>
      </w:r>
    </w:p>
    <w:p>
      <w:pPr>
        <w:pStyle w:val="Compact"/>
        <w:numPr>
          <w:ilvl w:val="0"/>
          <w:numId w:val="1002"/>
        </w:numPr>
      </w:pPr>
      <w:r>
        <w:rPr>
          <w:b/>
          <w:bCs/>
        </w:rPr>
        <w:t xml:space="preserve">Wady lokalu i uprawnienia Najemcy:</w:t>
      </w:r>
    </w:p>
    <w:p>
      <w:pPr>
        <w:pStyle w:val="Compact"/>
        <w:numPr>
          <w:ilvl w:val="1"/>
          <w:numId w:val="1003"/>
        </w:numPr>
      </w:pPr>
      <w:r>
        <w:rPr>
          <w:b/>
          <w:bCs/>
        </w:rPr>
        <w:t xml:space="preserve">Obowiązki Wynajmującego:</w:t>
      </w:r>
      <w:r>
        <w:t xml:space="preserve"> </w:t>
      </w:r>
      <w:r>
        <w:t xml:space="preserve">T. P. K. powinien wydać Najemcy rzecz w stanie przydatnym do umówionego użytku i utrzymywać ją w takim stanie przez cały czas trwania najmu [Kodeks cywilny, art. 662 § 1]. Drobne nakłady, które obciążają Najemcę, są enumeratywnie wymienione w art. 662 § 2 KC.</w:t>
      </w:r>
    </w:p>
    <w:p>
      <w:pPr>
        <w:pStyle w:val="Compact"/>
        <w:numPr>
          <w:ilvl w:val="1"/>
          <w:numId w:val="1003"/>
        </w:numPr>
      </w:pPr>
      <w:r>
        <w:rPr>
          <w:b/>
          <w:bCs/>
        </w:rPr>
        <w:t xml:space="preserve">Wady a użyteczność lokalu:</w:t>
      </w:r>
      <w:r>
        <w:t xml:space="preserve"> </w:t>
      </w:r>
      <w:r>
        <w:t xml:space="preserve">W niniejszej sprawie ujawniły się poważne wady lokalu (przecieki, awarie wentylacji, wilgoć), które uniemożliwiały prowadzenie działalności gastronomicznej [Źródło 1]. Protokół techniczny z 15 stycznia 2024 r. wskazywał już na drobne przecieki i wilgoć, co sugeruje, że T. P. K. był świadomy potencjalnych problemów [Źródło 1]. Jeżeli wady najętej rzeczy są tego rodzaju, że uniemożliwiają przewidziane w umowie używanie, M. A. N. może wypowiedzieć najem bez zachowania terminów wypowiedzenia [Kodeks cywilny, art. 664 § 2]. To uprawnienie jest kluczowe dla oceny działań Najemcy.</w:t>
      </w:r>
    </w:p>
    <w:p>
      <w:pPr>
        <w:pStyle w:val="Compact"/>
        <w:numPr>
          <w:ilvl w:val="1"/>
          <w:numId w:val="1003"/>
        </w:numPr>
      </w:pPr>
      <w:r>
        <w:rPr>
          <w:b/>
          <w:bCs/>
        </w:rPr>
        <w:t xml:space="preserve">Naprawy dokonane przez Najemcę:</w:t>
      </w:r>
      <w:r>
        <w:t xml:space="preserve"> </w:t>
      </w:r>
      <w:r>
        <w:t xml:space="preserve">Jeżeli w czasie trwania najmu rzecz wymaga napraw, które obciążają Wynajmującego, a T. P. K. mimo wezwania nie dokonuje ich w odpowiednim terminie, M. A. N. może dokonać koniecznych napraw na koszt Wynajmującego [Kodeks cywilny, art. 663]. M. A. N. wezwała Wynajmującego do usunięcia usterek (██ kwietnia 2024 r.) [Źródło 1], a wobec braku skutecznej reakcji i zaoferowania jedynie</w:t>
      </w:r>
      <w:r>
        <w:t xml:space="preserve"> </w:t>
      </w:r>
      <w:r>
        <w:t xml:space="preserve">“drobnych napraw”</w:t>
      </w:r>
      <w:r>
        <w:t xml:space="preserve"> </w:t>
      </w:r>
      <w:r>
        <w:t xml:space="preserve">[Źródło 1], podjęła się doraźnych napraw. Jej działanie w tym zakresie wydaje się uzasadnione.</w:t>
      </w:r>
    </w:p>
    <w:p>
      <w:pPr>
        <w:pStyle w:val="Compact"/>
        <w:numPr>
          <w:ilvl w:val="0"/>
          <w:numId w:val="1002"/>
        </w:numPr>
      </w:pPr>
      <w:r>
        <w:rPr>
          <w:b/>
          <w:bCs/>
        </w:rPr>
        <w:t xml:space="preserve">Wstrzymanie czynszu i potrącenie:</w:t>
      </w:r>
    </w:p>
    <w:p>
      <w:pPr>
        <w:pStyle w:val="Compact"/>
        <w:numPr>
          <w:ilvl w:val="1"/>
          <w:numId w:val="1004"/>
        </w:numPr>
      </w:pPr>
      <w:r>
        <w:rPr>
          <w:b/>
          <w:bCs/>
        </w:rPr>
        <w:t xml:space="preserve">Prawo do wstrzymania/obniżenia czynszu:</w:t>
      </w:r>
      <w:r>
        <w:t xml:space="preserve"> </w:t>
      </w:r>
      <w:r>
        <w:t xml:space="preserve">Jeżeli rzecz najęta ma wady, które ograniczają jej przydatność do umówionego użytku, M. A. N. może żądać odpowiedniego obniżenia czynszu za czas trwania wad [Kodeks cywilny, art. 664 § 1]. Wstrzymanie płatności czynszu przez Najemcę w dniu ██ maja 2024 r. było reakcją na wady lokalu i brak działań Wynajmującego [Źródło 1]. Skoro wady uniemożliwiały umówione używanie (działalność gastronomiczna), wstrzymanie czynszu było w pełni uzasadnione.</w:t>
      </w:r>
    </w:p>
    <w:p>
      <w:pPr>
        <w:pStyle w:val="Compact"/>
        <w:numPr>
          <w:ilvl w:val="1"/>
          <w:numId w:val="1004"/>
        </w:numPr>
      </w:pPr>
      <w:r>
        <w:rPr>
          <w:b/>
          <w:bCs/>
        </w:rPr>
        <w:t xml:space="preserve">Potrącenie:</w:t>
      </w:r>
      <w:r>
        <w:t xml:space="preserve"> </w:t>
      </w:r>
      <w:r>
        <w:t xml:space="preserve">M. A. N. potrącił kwotę 2 450,00 zł netto za doraźne naprawy [Źródło 1]. Potrącenie jest dopuszczalne, gdy dwie osoby są jednocześnie względem siebie dłużnikami i wierzycielami, a przedmiotem obu wierzytelności są pieniądze lub rzeczy tej samej jakości oznaczone tylko co do gatunku i obie wierzytelności są wymagalne i zaskarżalne [Kodeks cywilny, art. 498 § 1]. Roszczenie Najemcy o zwrot kosztów napraw było wymagalne (po upływie terminu na dokonanie napraw przez Wynajmującego), a zatem potrącenie wydaje się skuteczne.</w:t>
      </w:r>
    </w:p>
    <w:p>
      <w:pPr>
        <w:pStyle w:val="Compact"/>
        <w:numPr>
          <w:ilvl w:val="1"/>
          <w:numId w:val="1004"/>
        </w:numPr>
      </w:pPr>
      <w:r>
        <w:t xml:space="preserve">Orzecznictwo potwierdza, że w przypadku nienależytego wykonania umowy (w tym niewykonania dzieła z winy zamawiającego, co można analogicznie odnieść do obowiązku Wynajmującego utrzymania lokalu w stanie przydatnym do użytku), wynagrodzenie może być obliczone proporcjonalnie do wykonanej części lub, jak w przypadku napraw, roszczenie o zwrot kosztów jest uzasadnione [1].</w:t>
      </w:r>
    </w:p>
    <w:p>
      <w:pPr>
        <w:pStyle w:val="Compact"/>
        <w:numPr>
          <w:ilvl w:val="0"/>
          <w:numId w:val="1002"/>
        </w:numPr>
      </w:pPr>
      <w:r>
        <w:rPr>
          <w:b/>
          <w:bCs/>
        </w:rPr>
        <w:t xml:space="preserve">Wypowiedzenie umowy przez Wynajmującego:</w:t>
      </w:r>
    </w:p>
    <w:p>
      <w:pPr>
        <w:pStyle w:val="Compact"/>
        <w:numPr>
          <w:ilvl w:val="1"/>
          <w:numId w:val="1005"/>
        </w:numPr>
      </w:pPr>
      <w:r>
        <w:rPr>
          <w:b/>
          <w:bCs/>
        </w:rPr>
        <w:t xml:space="preserve">Zarzuty Wynajmującego:</w:t>
      </w:r>
      <w:r>
        <w:t xml:space="preserve"> </w:t>
      </w:r>
      <w:r>
        <w:t xml:space="preserve">T. P. K. wypowiedział umowę ze skutkiem natychmiastowym z powodu zarzutów: brak płatności czynszu, podnajem bez zgody, nieautoryzowane przeróbki [Źródło 1].</w:t>
      </w:r>
    </w:p>
    <w:p>
      <w:pPr>
        <w:pStyle w:val="Compact"/>
        <w:numPr>
          <w:ilvl w:val="1"/>
          <w:numId w:val="1005"/>
        </w:numPr>
      </w:pPr>
      <w:r>
        <w:rPr>
          <w:b/>
          <w:bCs/>
        </w:rPr>
        <w:t xml:space="preserve">Brak płatności czynszu:</w:t>
      </w:r>
      <w:r>
        <w:t xml:space="preserve"> </w:t>
      </w:r>
      <w:r>
        <w:t xml:space="preserve">Jeśli wstrzymanie czynszu przez Najemcę było uzasadnione (wadami lokalu), to zarzut Wynajmującego o braku płatności czynszu jako podstawę wypowiedzenia jest bezskuteczny. W świetle art. 664 § 2 KC, wypowiedzenie umowy przez Wynajmującego z powodu braku płatności czynszu, w sytuacji, gdy M. A. N. była uprawniona do jego obniżenia lub wstrzymania, jest bezpodstawne.</w:t>
      </w:r>
    </w:p>
    <w:p>
      <w:pPr>
        <w:pStyle w:val="Compact"/>
        <w:numPr>
          <w:ilvl w:val="1"/>
          <w:numId w:val="1005"/>
        </w:numPr>
      </w:pPr>
      <w:r>
        <w:rPr>
          <w:b/>
          <w:bCs/>
        </w:rPr>
        <w:t xml:space="preserve">Podnajem/cesja:</w:t>
      </w:r>
      <w:r>
        <w:t xml:space="preserve"> </w:t>
      </w:r>
      <w:r>
        <w:t xml:space="preserve">§ 9 ust. 3 umowy przewiduje zakaz podnajmu/cesji bez pisemnej zgody Wynajmującego, a naruszenie skutkuje natychmiastowym wypowiedzeniem i zatrzymaniem kaucji [Źródło 1]. Należy ustalić, czy faktycznie doszło do podnajmu lub cesji. Jeśli M. A. N. po prostu nie prowadziła działalności z powodu wad lokalu, nie oznacza to podnajmu. T. P. K. będzie musiał udowodnić zarzut podnajmu.</w:t>
      </w:r>
    </w:p>
    <w:p>
      <w:pPr>
        <w:pStyle w:val="Compact"/>
        <w:numPr>
          <w:ilvl w:val="1"/>
          <w:numId w:val="1005"/>
        </w:numPr>
      </w:pPr>
      <w:r>
        <w:rPr>
          <w:b/>
          <w:bCs/>
        </w:rPr>
        <w:t xml:space="preserve">Nieautoryzowane przeróbki:</w:t>
      </w:r>
      <w:r>
        <w:t xml:space="preserve"> </w:t>
      </w:r>
      <w:r>
        <w:t xml:space="preserve">Podobnie, T. P. K. będzie musiał udowodnić, że M. A. N. dokonała nieautoryzowanych przeróbek. Zgodnie z art. 667 § 2 KC, jeżeli M. A. N. używa rzeczy w sposób sprzeczny z umową lub przeznaczeniem rzeczy i mimo upomnienia nie przestaje jej używać w taki sposób albo gdy rzecz zaniedbuje do tego stopnia, że zostaje ona narażona na utratę lub uszkodzenie, T. P. K. może wypowiedzieć najem bez zachowania terminów wypowiedzenia. Klauzula §7 ust. 1 umowy mówi o przejściu instalacji stałych na własność Wynajmującego bez odszkodowania [Źródło 1]. To budzi wątpliwości w kontekście art. 676 KC, który stanowi, że jeżeli M. A. N. ulepszył rzecz najętą, T. P. K., w braku odmiennej umowy, może według swego wyboru albo zatrzymać ulepszenia za zapłatą sumy odpowiadającej ich wartości w chwili zwrotu, albo żądać przywrócenia stanu poprzedniego. Należy ocenić, czy adaptacje stanowiły</w:t>
      </w:r>
      <w:r>
        <w:t xml:space="preserve"> </w:t>
      </w:r>
      <w:r>
        <w:t xml:space="preserve">“ulepszenia”</w:t>
      </w:r>
      <w:r>
        <w:t xml:space="preserve"> </w:t>
      </w:r>
      <w:r>
        <w:t xml:space="preserve">czy</w:t>
      </w:r>
      <w:r>
        <w:t xml:space="preserve"> </w:t>
      </w:r>
      <w:r>
        <w:t xml:space="preserve">“nieautoryzowane przeróbki”</w:t>
      </w:r>
      <w:r>
        <w:t xml:space="preserve">, oraz czy klauzula umowna w §7 ust. 1 nie narusza zasad współżycia społecznego, zwłaszcza jeśli T. P. K. czerpie korzyści z ulepszeń bez żadnej rekompensaty.</w:t>
      </w:r>
    </w:p>
    <w:p>
      <w:pPr>
        <w:pStyle w:val="Compact"/>
        <w:numPr>
          <w:ilvl w:val="1"/>
          <w:numId w:val="1005"/>
        </w:numPr>
      </w:pPr>
      <w:r>
        <w:rPr>
          <w:b/>
          <w:bCs/>
        </w:rPr>
        <w:t xml:space="preserve">Skuteczność wypowiedzenia:</w:t>
      </w:r>
      <w:r>
        <w:t xml:space="preserve"> </w:t>
      </w:r>
      <w:r>
        <w:t xml:space="preserve">Jeśli zarzuty Wynajmującego są nieuzasadnione (zwłaszcza brak płatności czynszu, który był uzasadniony), wypowiedzenie umowy przez Wynajmującego będzie bezskuteczne. Oświadczenie o odstąpieniu (wypowiedzeniu) od umowy jest skuteczne, jeżeli jego podstawy są realne i faktycznie istnieją [8].</w:t>
      </w:r>
    </w:p>
    <w:p>
      <w:pPr>
        <w:pStyle w:val="Compact"/>
        <w:numPr>
          <w:ilvl w:val="0"/>
          <w:numId w:val="1002"/>
        </w:numPr>
      </w:pPr>
      <w:r>
        <w:rPr>
          <w:b/>
          <w:bCs/>
        </w:rPr>
        <w:t xml:space="preserve">Kara umowna i zatrzymanie kaucji:</w:t>
      </w:r>
    </w:p>
    <w:p>
      <w:pPr>
        <w:pStyle w:val="Compact"/>
        <w:numPr>
          <w:ilvl w:val="1"/>
          <w:numId w:val="1006"/>
        </w:numPr>
      </w:pPr>
      <w:r>
        <w:rPr>
          <w:b/>
          <w:bCs/>
        </w:rPr>
        <w:t xml:space="preserve">Kara umowna za rozwiązanie umowy z winy Najemcy:</w:t>
      </w:r>
      <w:r>
        <w:t xml:space="preserve"> </w:t>
      </w:r>
      <w:r>
        <w:t xml:space="preserve">Umowa przewiduje karę umowną w wysokości 6-miesięcznego czynszu za rozwiązanie umowy z winy Najemcy (§12) [Źródło 1]. T. P. K. żąda 36 000,00 zł [Źródło 1]. Skoro wypowiedzenie przez Wynajmującego jest prawdopodobnie bezskuteczne, a M. A. N. miała uzasadnione podstawy do wstrzymania świadczenia z uwagi na wady lokalu, to żądanie kary umownej jest bezzasadne [8]. Kara umowna jest zastrzeżona na wypadek niewykonania lub nienależytego wykonania zobowiązania [Kodeks cywilny, art. 483 § 1]. Jeśli to T. P. K. nienależycie wykonał swoje obowiązki, nie może żądać kary.</w:t>
      </w:r>
    </w:p>
    <w:p>
      <w:pPr>
        <w:pStyle w:val="Compact"/>
        <w:numPr>
          <w:ilvl w:val="1"/>
          <w:numId w:val="1006"/>
        </w:numPr>
      </w:pPr>
      <w:r>
        <w:rPr>
          <w:b/>
          <w:bCs/>
        </w:rPr>
        <w:t xml:space="preserve">Zatrzymanie kaucji:</w:t>
      </w:r>
      <w:r>
        <w:t xml:space="preserve"> </w:t>
      </w:r>
      <w:r>
        <w:t xml:space="preserve">Kaucja (18 000,00 zł) służy zabezpieczeniu roszczeń Wynajmującego wynikających z najmu [Źródło 1]. Jeśli T. P. K. nie ma uzasadnionych roszczeń (np. zniszczenia, nieopłacony czynsz), to kaucja powinna zostać zwrócona. Roszczenia Wynajmującego o 36 000,00 zł kary umownej oraz 24 500,00 zł brutto za rzekome zniszczenia są w tym kontekście do weryfikacji. Jeśli wypowiedzenie było bezskuteczne, T. P. K. nie mógł zatrzymać kaucji na poczet kar umownych związanych z rozwiązaniem umowy.</w:t>
      </w:r>
    </w:p>
    <w:p>
      <w:pPr>
        <w:pStyle w:val="Compact"/>
        <w:numPr>
          <w:ilvl w:val="0"/>
          <w:numId w:val="1002"/>
        </w:numPr>
      </w:pPr>
      <w:r>
        <w:rPr>
          <w:b/>
          <w:bCs/>
        </w:rPr>
        <w:t xml:space="preserve">Opłata administracyjna:</w:t>
      </w:r>
    </w:p>
    <w:p>
      <w:pPr>
        <w:pStyle w:val="Compact"/>
        <w:numPr>
          <w:ilvl w:val="1"/>
          <w:numId w:val="1007"/>
        </w:numPr>
      </w:pPr>
      <w:r>
        <w:rPr>
          <w:b/>
          <w:bCs/>
        </w:rPr>
        <w:t xml:space="preserve">Brak określenia w umowie:</w:t>
      </w:r>
      <w:r>
        <w:t xml:space="preserve"> </w:t>
      </w:r>
      <w:r>
        <w:t xml:space="preserve">§6 ust. 4 umowy mówi, że opłata administracyjna jest zgodna z cennikiem Wynajmującego, ale cennik nie został załączony [Źródło 1]. T. P. K. żąda 800,00 zł netto [Źródło 1]. Brak jasnego określenia wysokości i zakresu opłaty administracyjnej w umowie lub jej załączniku sprawia, że postanowienie to może być nieważne z uwagi na brak oznaczenia istotnego elementu świadczenia. T. P. K. nie może jednostronnie narzucić cennika po fakcie. Zgodnie z zasadą swobody umów (art. 353¹ KC), strony mogą kształtować treść stosunku prawnego, byleby nie sprzeciwiała się to właściwości (naturze) stosunku, ustawie ani zasadom współżycia społecznego. Brak precyzyjnego określenia świadczenia pieniężnego godzi w zasadę pewności obrotu. Orzecznictwo (np. w sprawie opłat eksploatacyjnych w spółdzielniach mieszkaniowych) wskazuje, że strona żądająca zapłaty musi wykazać zasadność i wysokość tych opłat [11].</w:t>
      </w:r>
    </w:p>
    <w:p>
      <w:pPr>
        <w:pStyle w:val="Compact"/>
        <w:numPr>
          <w:ilvl w:val="1"/>
          <w:numId w:val="1007"/>
        </w:numPr>
      </w:pPr>
      <w:r>
        <w:rPr>
          <w:b/>
          <w:bCs/>
        </w:rPr>
        <w:t xml:space="preserve">Analiza prawna w kontekście VI GC ███/██:</w:t>
      </w:r>
      <w:r>
        <w:t xml:space="preserve"> </w:t>
      </w:r>
      <w:r>
        <w:t xml:space="preserve">Sąd Rejonowy w Wałbrzychu w sprawie VI GC ███/██ nie dał wiary twierdzeniom o cenie netto, gdy nie było to w dokumentach, co jest ważne dla naszej</w:t>
      </w:r>
      <w:r>
        <w:t xml:space="preserve"> </w:t>
      </w:r>
      <w:r>
        <w:t xml:space="preserve">“opłaty administracyjnej”</w:t>
      </w:r>
      <w:r>
        <w:t xml:space="preserve">. Potwierdza, że spór o treść stosunku prawnego i zakres obowiązków wymaga wykładni oświadczeń woli (art. 65 KC) i że nie ma uzasadnienia, dla którego uzgodnienie akurat tego, stanowiącego essentialia negotii umowy warunku miałoby nie doczekać się dokumentowego potwierdzenia [5].</w:t>
      </w:r>
    </w:p>
    <w:p>
      <w:pPr>
        <w:pStyle w:val="Compact"/>
        <w:numPr>
          <w:ilvl w:val="0"/>
          <w:numId w:val="1002"/>
        </w:numPr>
      </w:pPr>
      <w:r>
        <w:rPr>
          <w:b/>
          <w:bCs/>
        </w:rPr>
        <w:t xml:space="preserve">Zastosowanie przepisów szczególnych (przepisy sanitarne):</w:t>
      </w:r>
      <w:r>
        <w:t xml:space="preserve"> </w:t>
      </w:r>
      <w:r>
        <w:t xml:space="preserve">Konieczność prowadzenia działalności gastronomicznej implikuje spełnienie rygorystycznych przepisów sanitarnych. Poważne wady lokalu, takie jak przecieki, wilgoć i awarie wentylacji, najprawdopodobniej powodowały, że lokal nie spełniał tych warunków. Taki stan lokalu może uzasadniać niemożność prowadzenia działalności i wstrzymanie czynszu, a nawet żądanie odszkodowania za utracone korzyści.</w:t>
      </w:r>
    </w:p>
    <w:bookmarkEnd w:id="13"/>
    <w:bookmarkStart w:id="14" w:name="X9af1d1aee3f64fc00797271ec454f3f1da02765"/>
    <w:p>
      <w:pPr>
        <w:pStyle w:val="Heading3"/>
      </w:pPr>
      <w:r>
        <w:t xml:space="preserve">II. Odpowiedź na wszystkie zagadnienia z części III kazusu (punkt po punkcie)</w:t>
      </w:r>
    </w:p>
    <w:p>
      <w:pPr>
        <w:numPr>
          <w:ilvl w:val="0"/>
          <w:numId w:val="1008"/>
        </w:numPr>
      </w:pPr>
      <w:r>
        <w:rPr>
          <w:b/>
          <w:bCs/>
        </w:rPr>
        <w:t xml:space="preserve">Ocena zasadności zatrzymania kaucji przez Wynajmującego i możliwości jej potrącenia:</w:t>
      </w:r>
    </w:p>
    <w:p>
      <w:pPr>
        <w:pStyle w:val="Compact"/>
        <w:numPr>
          <w:ilvl w:val="1"/>
          <w:numId w:val="1009"/>
        </w:numPr>
      </w:pPr>
      <w:r>
        <w:rPr>
          <w:b/>
          <w:bCs/>
        </w:rPr>
        <w:t xml:space="preserve">Kaucja:</w:t>
      </w:r>
      <w:r>
        <w:t xml:space="preserve"> </w:t>
      </w:r>
      <w:r>
        <w:t xml:space="preserve">Zatrzymanie kaucji (18 000,00 zł) przez Wynajmującego jest niezasadne. Zgodnie z analizą powyżej, wypowiedzenie umowy przez Wynajmującego jest prawdopodobnie bezskuteczne, a jego roszczenia o kary umowne z tego tytułu są nieuprawnione. Roszczenia o rzekome zniszczenia w kwocie 24 500,00 zł brutto wymagają szczegółowego udowodnienia przez Wynajmującego i weryfikacji przez biegłego. W tej sytuacji T. P. K. nie ma podstaw do zatrzymania kaucji w całości.</w:t>
      </w:r>
    </w:p>
    <w:p>
      <w:pPr>
        <w:pStyle w:val="Compact"/>
        <w:numPr>
          <w:ilvl w:val="1"/>
          <w:numId w:val="1009"/>
        </w:numPr>
      </w:pPr>
      <w:r>
        <w:rPr>
          <w:b/>
          <w:bCs/>
        </w:rPr>
        <w:t xml:space="preserve">Potrącenie:</w:t>
      </w:r>
      <w:r>
        <w:t xml:space="preserve"> </w:t>
      </w:r>
      <w:r>
        <w:t xml:space="preserve">M. A. N. ma roszczenie o zwrot kosztów doraźnych napraw w wysokości 2 450,00 zł netto. W przypadku, gdyby okazało się, że T. P. K. ma jakieś uzasadnione roszczenia wobec Najemcy (np. faktycznie udowodnione i niekwestionowane drobne zniszczenia, które nie wynikają z normalnego zużycia ani wad lokalu), M. A. N. również mógłby dokonać potrącenia swoich roszczeń (np. o zwrot kaucji, odszkodowanie za utracone korzyści, zwrot kosztów napraw) z ewentualnymi roszczeniami Wynajmującego, zgodnie z art. 498 KC.</w:t>
      </w:r>
    </w:p>
    <w:p>
      <w:pPr>
        <w:numPr>
          <w:ilvl w:val="0"/>
          <w:numId w:val="1008"/>
        </w:numPr>
      </w:pPr>
      <w:r>
        <w:rPr>
          <w:b/>
          <w:bCs/>
        </w:rPr>
        <w:t xml:space="preserve">Ocena skuteczności wypowiedzenia umowy przez Wynajmującego i zasadności naliczonych kar umownych (36 000,00 zł):</w:t>
      </w:r>
    </w:p>
    <w:p>
      <w:pPr>
        <w:pStyle w:val="Compact"/>
        <w:numPr>
          <w:ilvl w:val="1"/>
          <w:numId w:val="1010"/>
        </w:numPr>
      </w:pPr>
      <w:r>
        <w:rPr>
          <w:b/>
          <w:bCs/>
        </w:rPr>
        <w:t xml:space="preserve">Wypowiedzenie umowy:</w:t>
      </w:r>
      <w:r>
        <w:t xml:space="preserve"> </w:t>
      </w:r>
      <w:r>
        <w:t xml:space="preserve">Wypowiedzenie umowy przez Wynajmującego z dnia ██ maja 2024 r. jest</w:t>
      </w:r>
      <w:r>
        <w:t xml:space="preserve"> </w:t>
      </w:r>
      <w:r>
        <w:rPr>
          <w:b/>
          <w:bCs/>
        </w:rPr>
        <w:t xml:space="preserve">bezskuteczne</w:t>
      </w:r>
      <w:r>
        <w:t xml:space="preserve">. Główny zarzut – brak płatności czynszu – był bezpodstawny, ponieważ M. A. N. miała prawo do wstrzymania czynszu ze względu na poważne wady lokalu uniemożliwiające jego używanie, zgodnie z art. 664 § 2 KC. Pozostałe zarzuty (podnajem bez zgody, nieautoryzowane przeróbki) muszą zostać udowodnione przez Wynajmującego, a z przedstawionego stanu faktycznego nie wynika, aby miały one miejsce. W świetle orzecznictwa, z prawa odstąpienia od umowy można skorzystać tylko wówczas, gdy opóźnienie jest realne i faktycznie istnieje [8].</w:t>
      </w:r>
    </w:p>
    <w:p>
      <w:pPr>
        <w:pStyle w:val="Compact"/>
        <w:numPr>
          <w:ilvl w:val="1"/>
          <w:numId w:val="1010"/>
        </w:numPr>
      </w:pPr>
      <w:r>
        <w:rPr>
          <w:b/>
          <w:bCs/>
        </w:rPr>
        <w:t xml:space="preserve">Kary umowne:</w:t>
      </w:r>
      <w:r>
        <w:t xml:space="preserve"> </w:t>
      </w:r>
      <w:r>
        <w:t xml:space="preserve">Żądanie kary umownej w wysokości 36 000,00 zł (6-miesięczny czynsz) jest</w:t>
      </w:r>
      <w:r>
        <w:t xml:space="preserve"> </w:t>
      </w:r>
      <w:r>
        <w:rPr>
          <w:b/>
          <w:bCs/>
        </w:rPr>
        <w:t xml:space="preserve">niezasadne</w:t>
      </w:r>
      <w:r>
        <w:t xml:space="preserve">. Kara umowna jest związana z rozwiązaniem umowy z winy Najemcy (§12 umowy) [Źródło 1]. Skoro wypowiedzenie przez Wynajmującego jest bezskuteczne, to nie ma podstaw do naliczenia kary umownej za rozwiązanie umowy z winy Najemcy. Ewentualne zarzuty Wynajmującego dotyczące podnajmu lub przeróbek, jeśli nie zostaną udowodnione, również nie uzasadniają kary.</w:t>
      </w:r>
    </w:p>
    <w:p>
      <w:pPr>
        <w:numPr>
          <w:ilvl w:val="0"/>
          <w:numId w:val="1008"/>
        </w:numPr>
      </w:pPr>
      <w:r>
        <w:rPr>
          <w:b/>
          <w:bCs/>
        </w:rPr>
        <w:t xml:space="preserve">Ocena uprawnień Najemcy do wstrzymania zapłaty czynszu i prawo do potrącenia własnych kosztów naprawy dorażnej (2 450,00 zł netto) – czy M. A. N. miał prawo do powołania się na art. 494–495 KC oraz art. 461 KC? Ocenić, czy i w jakim zakresie M. A. N. może dokonać potrącenia z tytułu kosztów naprawy i ewentualnego zmniejszenia czynszu za czas, gdy lokal był niezdatny do użytku.</w:t>
      </w:r>
    </w:p>
    <w:p>
      <w:pPr>
        <w:pStyle w:val="Compact"/>
        <w:numPr>
          <w:ilvl w:val="1"/>
          <w:numId w:val="1011"/>
        </w:numPr>
      </w:pPr>
      <w:r>
        <w:rPr>
          <w:b/>
          <w:bCs/>
        </w:rPr>
        <w:t xml:space="preserve">Wstrzymanie zapłaty czynszu:</w:t>
      </w:r>
      <w:r>
        <w:t xml:space="preserve"> </w:t>
      </w:r>
      <w:r>
        <w:t xml:space="preserve">Tak, M. A. N. miał pełne prawo do wstrzymania zapłaty czynszu za maj 2024 r. ze względu na wady lokalu uniemożliwiające jego używanie zgodnie z przeznaczeniem (działalność gastronomiczna, zagrożenie sanitarne). Uprawnienie to wynika z art. 664 § 2 KC.</w:t>
      </w:r>
    </w:p>
    <w:p>
      <w:pPr>
        <w:pStyle w:val="Compact"/>
        <w:numPr>
          <w:ilvl w:val="1"/>
          <w:numId w:val="1011"/>
        </w:numPr>
      </w:pPr>
      <w:r>
        <w:rPr>
          <w:b/>
          <w:bCs/>
        </w:rPr>
        <w:t xml:space="preserve">Potrącenie kosztów naprawy doraźnej:</w:t>
      </w:r>
      <w:r>
        <w:t xml:space="preserve"> </w:t>
      </w:r>
      <w:r>
        <w:t xml:space="preserve">Tak, M. A. N. miał prawo do potrącenia kwoty 2 450,00 zł netto tytułem kosztów doraźnych napraw. Wynika to z art. 663 KC, który pozwala Najemcy na dokonanie koniecznych napraw na koszt Wynajmującego, jeśli ten, mimo wezwania, nie wywiąże się ze swojego obowiązku. Potrącenie wierzytelności jest możliwe na podstawie art. 498 KC.</w:t>
      </w:r>
    </w:p>
    <w:p>
      <w:pPr>
        <w:pStyle w:val="Compact"/>
        <w:numPr>
          <w:ilvl w:val="1"/>
          <w:numId w:val="1011"/>
        </w:numPr>
      </w:pPr>
      <w:r>
        <w:rPr>
          <w:b/>
          <w:bCs/>
        </w:rPr>
        <w:t xml:space="preserve">Zmniejszenie czynszu:</w:t>
      </w:r>
      <w:r>
        <w:t xml:space="preserve"> </w:t>
      </w:r>
      <w:r>
        <w:t xml:space="preserve">M. A. N. może również dochodzić zmniejszenia czynszu za cały okres, w którym lokal był niezdatny do umówionego użytku (od marca do maja 2024 r. lub dłużej, jeśli wady trwałyby nadal), zgodnie z art. 664 § 1 KC. Wysokość obniżenia czynszu powinna być proporcjonalna do stopnia ograniczenia użyteczności lokalu. W tej sprawie, biorąc pod uwagę niemożność prowadzenia kawiarni, obniżenie czynszu może być nawet o 100% za okres przestoju.</w:t>
      </w:r>
    </w:p>
    <w:p>
      <w:pPr>
        <w:numPr>
          <w:ilvl w:val="0"/>
          <w:numId w:val="1008"/>
        </w:numPr>
      </w:pPr>
      <w:r>
        <w:rPr>
          <w:b/>
          <w:bCs/>
        </w:rPr>
        <w:t xml:space="preserve">Ocena skuteczności i wykonalności żądań Wynajmującego dotyczących opłaty administracyjnej 800,00 zł netto (brak załączonego cennika) oraz naliczenia odsetek i innych kosztów: czy postanowienie umowne (§6 ust.4) jest wystarczająco precyzyjne i czy T. P. K. może jednostronnie enuncjować cennik po fakcie. Przywołać zasady wynikające z art. 353(1) KC (swoboda umów i jej granice), prawo dotyczące klauzul abuzywnych (o ile można analogizować) oraz obowiązek przejrzystości rozliczeń.</w:t>
      </w:r>
    </w:p>
    <w:p>
      <w:pPr>
        <w:pStyle w:val="Compact"/>
        <w:numPr>
          <w:ilvl w:val="1"/>
          <w:numId w:val="1012"/>
        </w:numPr>
      </w:pPr>
      <w:r>
        <w:rPr>
          <w:b/>
          <w:bCs/>
        </w:rPr>
        <w:t xml:space="preserve">Opłata administracyjna:</w:t>
      </w:r>
      <w:r>
        <w:t xml:space="preserve"> </w:t>
      </w:r>
      <w:r>
        <w:t xml:space="preserve">Postanowienie §6 ust. 4 umowy dotyczące opłaty administracyjnej, która ma być „zgodna z cennikiem Wynajmującego”, przy jednoczesnym braku załączonego cennika [Źródło 1], jest</w:t>
      </w:r>
      <w:r>
        <w:t xml:space="preserve"> </w:t>
      </w:r>
      <w:r>
        <w:rPr>
          <w:b/>
          <w:bCs/>
        </w:rPr>
        <w:t xml:space="preserve">niewystarczająco precyzyjne i prawdopodobnie bezskuteczne</w:t>
      </w:r>
      <w:r>
        <w:t xml:space="preserve">. Zgodnie z zasadą swobody umów (art. 353¹ KC), strony mogą swobodnie kształtować treść umowy, jednak nie może ona sprzeciwiać się ustawie, właściwości (naturze) stosunku ani zasadom współżycia społecznego. Brak określenia wysokości lub zasad obliczania tak istotnego elementu świadczenia, jakim jest opłata administracyjna, godzi w pewność obrotu i zasadę przejrzystości rozliczeń. T. P. K. nie może jednostronnie</w:t>
      </w:r>
      <w:r>
        <w:t xml:space="preserve"> </w:t>
      </w:r>
      <w:r>
        <w:t xml:space="preserve">“enuncjować”</w:t>
      </w:r>
      <w:r>
        <w:t xml:space="preserve"> </w:t>
      </w:r>
      <w:r>
        <w:t xml:space="preserve">cennika po fakcie i żądać zapłaty bez wcześniejszego, jasnego ustalenia.</w:t>
      </w:r>
    </w:p>
    <w:p>
      <w:pPr>
        <w:pStyle w:val="Compact"/>
        <w:numPr>
          <w:ilvl w:val="1"/>
          <w:numId w:val="1012"/>
        </w:numPr>
      </w:pPr>
      <w:r>
        <w:rPr>
          <w:b/>
          <w:bCs/>
        </w:rPr>
        <w:t xml:space="preserve">Analogia do klauzul abuzywnych:</w:t>
      </w:r>
      <w:r>
        <w:t xml:space="preserve"> </w:t>
      </w:r>
      <w:r>
        <w:t xml:space="preserve">Choć sprawa dotyczy relacji B2B (M. A. N. jako przedsiębiorca), można argumentować, że takie nieprecyzyjne postanowienie umowne narusza dobre obyczaje i może być uznane za próbę jednostronnego narzucenia warunków, godząc w równowagę kontraktową. W orzecznictwie podkreśla się, że strona żądająca zapłaty musi wykazać zasadność i wysokość opłat [11]. W sprawie VI GC ███/██ Sąd nie dał wiary twierdzeniom o cenie, która nie miała dokumentowego potwierdzenia [5].</w:t>
      </w:r>
    </w:p>
    <w:p>
      <w:pPr>
        <w:pStyle w:val="Compact"/>
        <w:numPr>
          <w:ilvl w:val="1"/>
          <w:numId w:val="1012"/>
        </w:numPr>
      </w:pPr>
      <w:r>
        <w:rPr>
          <w:b/>
          <w:bCs/>
        </w:rPr>
        <w:t xml:space="preserve">Naliczenie odsetek i innych kosztów:</w:t>
      </w:r>
      <w:r>
        <w:t xml:space="preserve"> </w:t>
      </w:r>
      <w:r>
        <w:t xml:space="preserve">Żądanie odsetek i innych kosztów z tytułu opłaty administracyjnej jest również</w:t>
      </w:r>
      <w:r>
        <w:t xml:space="preserve"> </w:t>
      </w:r>
      <w:r>
        <w:rPr>
          <w:b/>
          <w:bCs/>
        </w:rPr>
        <w:t xml:space="preserve">niezasadne</w:t>
      </w:r>
      <w:r>
        <w:t xml:space="preserve">, skoro sama opłata jest kwestionowana.</w:t>
      </w:r>
    </w:p>
    <w:p>
      <w:pPr>
        <w:numPr>
          <w:ilvl w:val="0"/>
          <w:numId w:val="1008"/>
        </w:numPr>
      </w:pPr>
      <w:r>
        <w:rPr>
          <w:b/>
          <w:bCs/>
        </w:rPr>
        <w:t xml:space="preserve">Kwestie dowodowe: analiza materiału dowodowego koniecznego do obrony stanowiska Najemcy (fotografie, korespondencja e-mailowa, faktury, protokół stanu technicznego z 15.01.2024 r., świadkowie, ekspertyza biegłego z zakresu instalacji HVAC i wentylacji oraz kosztorys niezależny). Wskazać, które dowody są kluczowe i jakie wnioski dowodowe warto złożyć (wniosek o biegłego, zabezpieczenie dowodów, żądanie udostępnienia dokumentów przez Wynajmującego, np. cennik administracyjny).</w:t>
      </w:r>
    </w:p>
    <w:p>
      <w:pPr>
        <w:pStyle w:val="Compact"/>
        <w:numPr>
          <w:ilvl w:val="1"/>
          <w:numId w:val="1013"/>
        </w:numPr>
      </w:pPr>
      <w:r>
        <w:rPr>
          <w:b/>
          <w:bCs/>
        </w:rPr>
        <w:t xml:space="preserve">Kluczowe dowody dla Najemcy:</w:t>
      </w:r>
    </w:p>
    <w:p>
      <w:pPr>
        <w:pStyle w:val="Compact"/>
        <w:numPr>
          <w:ilvl w:val="2"/>
          <w:numId w:val="1014"/>
        </w:numPr>
      </w:pPr>
      <w:r>
        <w:rPr>
          <w:b/>
          <w:bCs/>
        </w:rPr>
        <w:t xml:space="preserve">Protokół stanu technicznego z 15.01.2024 r.:</w:t>
      </w:r>
      <w:r>
        <w:t xml:space="preserve"> </w:t>
      </w:r>
      <w:r>
        <w:t xml:space="preserve">Potwierdza istnienie początkowych wad (przecieki, wilgoć) [Źródło 1].</w:t>
      </w:r>
    </w:p>
    <w:p>
      <w:pPr>
        <w:pStyle w:val="Compact"/>
        <w:numPr>
          <w:ilvl w:val="2"/>
          <w:numId w:val="1014"/>
        </w:numPr>
      </w:pPr>
      <w:r>
        <w:rPr>
          <w:b/>
          <w:bCs/>
        </w:rPr>
        <w:t xml:space="preserve">Fotografie i nagrania:</w:t>
      </w:r>
      <w:r>
        <w:t xml:space="preserve"> </w:t>
      </w:r>
      <w:r>
        <w:t xml:space="preserve">Dokumentujące postępujące wady lokalu (przecieki, awarie wentylacji, wilgoć, zagrożenie sanitarne) od marca do maja 2024 r.</w:t>
      </w:r>
    </w:p>
    <w:p>
      <w:pPr>
        <w:pStyle w:val="Compact"/>
        <w:numPr>
          <w:ilvl w:val="2"/>
          <w:numId w:val="1014"/>
        </w:numPr>
      </w:pPr>
      <w:r>
        <w:rPr>
          <w:b/>
          <w:bCs/>
        </w:rPr>
        <w:t xml:space="preserve">Korespondencja e-mailowa:</w:t>
      </w:r>
      <w:r>
        <w:t xml:space="preserve"> </w:t>
      </w:r>
      <w:r>
        <w:t xml:space="preserve">Wezwanie do usunięcia usterek (12.04.2024 r.), odpowiedź Wynajmującego („drobne naprawy”), informacja o wstrzymaniu czynszu i potrąceniu (10.05.2024 r.), wezwania Wynajmującego do zapłaty (17.05.2024 r.), oświadczenie o wypowiedzeniu (25.05.2024 r.) [Źródło 1]. Orzecznictwo wskazuje na kluczową rolę korespondencji e-mailowej w ustalaniu stanu faktycznego [1].</w:t>
      </w:r>
    </w:p>
    <w:p>
      <w:pPr>
        <w:pStyle w:val="Compact"/>
        <w:numPr>
          <w:ilvl w:val="2"/>
          <w:numId w:val="1014"/>
        </w:numPr>
      </w:pPr>
      <w:r>
        <w:rPr>
          <w:b/>
          <w:bCs/>
        </w:rPr>
        <w:t xml:space="preserve">Faktury i dowody zapłaty za doraźne naprawy:</w:t>
      </w:r>
      <w:r>
        <w:t xml:space="preserve"> </w:t>
      </w:r>
      <w:r>
        <w:t xml:space="preserve">Potwierdzające poniesienie kosztów w wysokości 2 450,00 zł netto [Źródło 1].</w:t>
      </w:r>
    </w:p>
    <w:p>
      <w:pPr>
        <w:pStyle w:val="Compact"/>
        <w:numPr>
          <w:ilvl w:val="2"/>
          <w:numId w:val="1014"/>
        </w:numPr>
      </w:pPr>
      <w:r>
        <w:rPr>
          <w:b/>
          <w:bCs/>
        </w:rPr>
        <w:t xml:space="preserve">Świadkowie:</w:t>
      </w:r>
      <w:r>
        <w:t xml:space="preserve"> </w:t>
      </w:r>
      <w:r>
        <w:t xml:space="preserve">Osoby, które widziały stan lokalu, potwierdzą faktyczną niemożność prowadzenia działalności (np. pracownicy, dostawcy, klienci).</w:t>
      </w:r>
    </w:p>
    <w:p>
      <w:pPr>
        <w:pStyle w:val="Compact"/>
        <w:numPr>
          <w:ilvl w:val="2"/>
          <w:numId w:val="1014"/>
        </w:numPr>
      </w:pPr>
      <w:r>
        <w:rPr>
          <w:b/>
          <w:bCs/>
        </w:rPr>
        <w:t xml:space="preserve">Dokumentacja techniczna lokalu:</w:t>
      </w:r>
      <w:r>
        <w:t xml:space="preserve"> </w:t>
      </w:r>
      <w:r>
        <w:t xml:space="preserve">Jeśli istnieje, może wskazać na niedostateczną wentylację lub inne problemy konstrukcyjne.</w:t>
      </w:r>
    </w:p>
    <w:p>
      <w:pPr>
        <w:pStyle w:val="Compact"/>
        <w:numPr>
          <w:ilvl w:val="2"/>
          <w:numId w:val="1014"/>
        </w:numPr>
      </w:pPr>
      <w:r>
        <w:rPr>
          <w:b/>
          <w:bCs/>
        </w:rPr>
        <w:t xml:space="preserve">Opinia biegłego z zakresu instalacji HVAC i wentylacji oraz kosztorys niezależny:</w:t>
      </w:r>
      <w:r>
        <w:t xml:space="preserve"> </w:t>
      </w:r>
      <w:r>
        <w:t xml:space="preserve">Niezbędne do oceny przyczyn wad, zakresu wymaganych napraw, ich kosztów oraz prawidłowości kosztorysu Wynajmującego (24 500,00 zł brutto) i faktycznego stanu lokalu.</w:t>
      </w:r>
    </w:p>
    <w:p>
      <w:pPr>
        <w:pStyle w:val="Compact"/>
        <w:numPr>
          <w:ilvl w:val="1"/>
          <w:numId w:val="1013"/>
        </w:numPr>
      </w:pPr>
      <w:r>
        <w:rPr>
          <w:b/>
          <w:bCs/>
        </w:rPr>
        <w:t xml:space="preserve">Wnioski dowodowe do złożenia:</w:t>
      </w:r>
    </w:p>
    <w:p>
      <w:pPr>
        <w:pStyle w:val="Compact"/>
        <w:numPr>
          <w:ilvl w:val="2"/>
          <w:numId w:val="1015"/>
        </w:numPr>
      </w:pPr>
      <w:r>
        <w:rPr>
          <w:b/>
          <w:bCs/>
        </w:rPr>
        <w:t xml:space="preserve">Wniosek o powołanie biegłego sądowego:</w:t>
      </w:r>
      <w:r>
        <w:t xml:space="preserve"> </w:t>
      </w:r>
      <w:r>
        <w:t xml:space="preserve">Z zakresu budownictwa (instalacje, wentylacja, wilgoć) oraz rzeczoznawcy majątkowego (w celu oceny obniżenia wartości użytkowej lokalu i ewentualnie utraconych korzyści). Zakres opinii powinien obejmować:</w:t>
      </w:r>
    </w:p>
    <w:p>
      <w:pPr>
        <w:pStyle w:val="Compact"/>
        <w:numPr>
          <w:ilvl w:val="3"/>
          <w:numId w:val="1016"/>
        </w:numPr>
      </w:pPr>
      <w:r>
        <w:t xml:space="preserve">Rodzaj, zakres i przyczyny wad lokalu.</w:t>
      </w:r>
    </w:p>
    <w:p>
      <w:pPr>
        <w:pStyle w:val="Compact"/>
        <w:numPr>
          <w:ilvl w:val="3"/>
          <w:numId w:val="1016"/>
        </w:numPr>
      </w:pPr>
      <w:r>
        <w:t xml:space="preserve">Okres, w którym wady uniemożliwiały lub znacznie utrudniały użytkowanie lokalu zgodnie z przeznaczeniem.</w:t>
      </w:r>
    </w:p>
    <w:p>
      <w:pPr>
        <w:pStyle w:val="Compact"/>
        <w:numPr>
          <w:ilvl w:val="3"/>
          <w:numId w:val="1016"/>
        </w:numPr>
      </w:pPr>
      <w:r>
        <w:t xml:space="preserve">Uzasadnienie kosztów napraw doraźnych poniesionych przez Najemcę (2 450,00 zł netto).</w:t>
      </w:r>
    </w:p>
    <w:p>
      <w:pPr>
        <w:pStyle w:val="Compact"/>
        <w:numPr>
          <w:ilvl w:val="3"/>
          <w:numId w:val="1016"/>
        </w:numPr>
      </w:pPr>
      <w:r>
        <w:t xml:space="preserve">Weryfikację kosztorysu Wynajmującego na kwotę 24 500,00 zł brutto pod kątem zasadności i zakresu prac oraz ich związku z działaniami Najemcy lub wadami lokalu.</w:t>
      </w:r>
    </w:p>
    <w:p>
      <w:pPr>
        <w:pStyle w:val="Compact"/>
        <w:numPr>
          <w:ilvl w:val="3"/>
          <w:numId w:val="1016"/>
        </w:numPr>
      </w:pPr>
      <w:r>
        <w:t xml:space="preserve">Ocena, czy adaptacje wykonane przez Najemcę stanowiły ulepszenia i jaka jest ich wartość.</w:t>
      </w:r>
    </w:p>
    <w:p>
      <w:pPr>
        <w:pStyle w:val="Compact"/>
        <w:numPr>
          <w:ilvl w:val="2"/>
          <w:numId w:val="1015"/>
        </w:numPr>
      </w:pPr>
      <w:r>
        <w:rPr>
          <w:b/>
          <w:bCs/>
        </w:rPr>
        <w:t xml:space="preserve">Wniosek o zabezpieczenie dowodów:</w:t>
      </w:r>
      <w:r>
        <w:t xml:space="preserve"> </w:t>
      </w:r>
      <w:r>
        <w:t xml:space="preserve">W postaci protokołu stanu lokalu sporządzonego przez sądowego rzeczoznawcę, w celu udokumentowania aktualnego stanu technicznego lokalu, jeśli istnieje ryzyko dalszych zmian lub ukrycia wad przez Wynajmującego.</w:t>
      </w:r>
    </w:p>
    <w:p>
      <w:pPr>
        <w:pStyle w:val="Compact"/>
        <w:numPr>
          <w:ilvl w:val="2"/>
          <w:numId w:val="1015"/>
        </w:numPr>
      </w:pPr>
      <w:r>
        <w:rPr>
          <w:b/>
          <w:bCs/>
        </w:rPr>
        <w:t xml:space="preserve">Żądanie udostępnienia dokumentów przez Wynajmującego:</w:t>
      </w:r>
    </w:p>
    <w:p>
      <w:pPr>
        <w:pStyle w:val="Compact"/>
        <w:numPr>
          <w:ilvl w:val="3"/>
          <w:numId w:val="1017"/>
        </w:numPr>
      </w:pPr>
      <w:r>
        <w:t xml:space="preserve">Cennik opłat administracyjnych, o którym mowa w §6 ust. 4 umowy [Źródło 1].</w:t>
      </w:r>
    </w:p>
    <w:p>
      <w:pPr>
        <w:pStyle w:val="Compact"/>
        <w:numPr>
          <w:ilvl w:val="3"/>
          <w:numId w:val="1017"/>
        </w:numPr>
      </w:pPr>
      <w:r>
        <w:t xml:space="preserve">Faktury i kosztorysy dotyczące prac wykonanych przez Wynajmującego na kwotę 24 500,00 zł brutto.</w:t>
      </w:r>
    </w:p>
    <w:p>
      <w:pPr>
        <w:pStyle w:val="Compact"/>
        <w:numPr>
          <w:ilvl w:val="3"/>
          <w:numId w:val="1017"/>
        </w:numPr>
      </w:pPr>
      <w:r>
        <w:t xml:space="preserve">Dowody na rzekomy podnajem lub nieautoryzowane przeróbki.</w:t>
      </w:r>
    </w:p>
    <w:p>
      <w:pPr>
        <w:pStyle w:val="Compact"/>
        <w:numPr>
          <w:ilvl w:val="3"/>
          <w:numId w:val="1017"/>
        </w:numPr>
      </w:pPr>
      <w:r>
        <w:t xml:space="preserve">Dokumentacja związana z odbiorem i naprawami lokalu przed najmem (jeśli taka istnieje).</w:t>
      </w:r>
    </w:p>
    <w:p>
      <w:pPr>
        <w:numPr>
          <w:ilvl w:val="0"/>
          <w:numId w:val="1008"/>
        </w:numPr>
      </w:pPr>
      <w:r>
        <w:rPr>
          <w:b/>
          <w:bCs/>
        </w:rPr>
        <w:t xml:space="preserve">Wyliczenie kwotowe roszczenia Najemcy i/lub ewentualnej kontrroszczenia — sporządzić zadanie: wskazać jakie dokładnie kwoty M. A. N. może dochodzić (np. żądanie zwrotu zatrzymanej kaucji po potrąceniu uzasadnionych kosztów, odsetki, zwrot kosztów utraconych przychodów za okres przestoju, koszty adaptacji, ewentualne odszkodowanie z tytułu nienależytego stanu lokalu). Przygotować listę pozycji kwotowych do weryfikacji z uwzględnieniem terminów przedawnienia (art. 118 i nast. Kodeksu cywilnego) oraz wskazać daty graniczne dla ewentualnego dochodzenia roszczeń.</w:t>
      </w:r>
    </w:p>
    <w:p>
      <w:pPr>
        <w:pStyle w:val="Compact"/>
        <w:numPr>
          <w:ilvl w:val="1"/>
          <w:numId w:val="1018"/>
        </w:numPr>
      </w:pPr>
      <w:r>
        <w:rPr>
          <w:b/>
          <w:bCs/>
        </w:rPr>
        <w:t xml:space="preserve">Roszczenia Najemcy:</w:t>
      </w:r>
    </w:p>
    <w:p>
      <w:pPr>
        <w:pStyle w:val="Compact"/>
        <w:numPr>
          <w:ilvl w:val="2"/>
          <w:numId w:val="1019"/>
        </w:numPr>
      </w:pPr>
      <w:r>
        <w:rPr>
          <w:b/>
          <w:bCs/>
        </w:rPr>
        <w:t xml:space="preserve">Zwrot bezprawnie zatrzymanej kaucji:</w:t>
      </w:r>
      <w:r>
        <w:t xml:space="preserve"> </w:t>
      </w:r>
      <w:r>
        <w:t xml:space="preserve">18 000,00 zł [Źródło 1].</w:t>
      </w:r>
    </w:p>
    <w:p>
      <w:pPr>
        <w:pStyle w:val="Compact"/>
        <w:numPr>
          <w:ilvl w:val="2"/>
          <w:numId w:val="1019"/>
        </w:numPr>
      </w:pPr>
      <w:r>
        <w:rPr>
          <w:b/>
          <w:bCs/>
        </w:rPr>
        <w:t xml:space="preserve">Zwrot kosztów doraźnych napraw:</w:t>
      </w:r>
      <w:r>
        <w:t xml:space="preserve"> </w:t>
      </w:r>
      <w:r>
        <w:t xml:space="preserve">2 450,00 zł netto. Należy doliczyć 23% VAT, co daje 3 013,50 zł brutto (jeśli M. A. N. jest podatnikiem VAT, to dochodzi kwoty netto).</w:t>
      </w:r>
    </w:p>
    <w:p>
      <w:pPr>
        <w:pStyle w:val="Compact"/>
        <w:numPr>
          <w:ilvl w:val="2"/>
          <w:numId w:val="1019"/>
        </w:numPr>
      </w:pPr>
      <w:r>
        <w:rPr>
          <w:b/>
          <w:bCs/>
        </w:rPr>
        <w:t xml:space="preserve">Odszkodowanie z tytułu nienależytego wykonania umowy/utraconych przychodów (lucrum cessans):</w:t>
      </w:r>
      <w:r>
        <w:t xml:space="preserve"> </w:t>
      </w:r>
      <w:r>
        <w:t xml:space="preserve">Za okres, w którym lokal był niezdatny do użytku (od marca 2024 r. do dnia faktycznego rozwiązania umowy lub opuszczenia lokalu). Należy oszacować średnie dzienne/miesięczne przychody kawiarni.</w:t>
      </w:r>
    </w:p>
    <w:p>
      <w:pPr>
        <w:pStyle w:val="Compact"/>
        <w:numPr>
          <w:ilvl w:val="3"/>
          <w:numId w:val="1020"/>
        </w:numPr>
      </w:pPr>
      <w:r>
        <w:t xml:space="preserve">Miesięczny czynsz wynosił 6 000,00 zł netto. Jeśli lokal był całkowicie niezdatny, M. A. N. może dochodzić utraconego zysku za marzec, kwiecień, maj (do 25.05) 2024 r. Oszacowanie wymaga dokładniejszych danych księgowych kawiarni. Jako punkt wyjścia można przyjąć przynajmniej trzykrotność czynszu (np. minimalnie 18 000,00 zł netto za trzy miesiące nieużywania lokalu).</w:t>
      </w:r>
    </w:p>
    <w:p>
      <w:pPr>
        <w:pStyle w:val="Compact"/>
        <w:numPr>
          <w:ilvl w:val="2"/>
          <w:numId w:val="1019"/>
        </w:numPr>
      </w:pPr>
      <w:r>
        <w:rPr>
          <w:b/>
          <w:bCs/>
        </w:rPr>
        <w:t xml:space="preserve">Zwrot wartości adaptacji:</w:t>
      </w:r>
      <w:r>
        <w:t xml:space="preserve"> </w:t>
      </w:r>
      <w:r>
        <w:t xml:space="preserve">§7 ust. 1 umowy wskazuje, że instalacje stałe stają się własnością Wynajmującego bez odszkodowania [Źródło 1]. Można próbować zakwestionować tę klauzulę jako sprzeczną z zasadami współżycia społecznego lub nieważną na podstawie art. 58 KC, jeśli prowadzi do rażącego pokrzywdzenia Najemcy i bezpodstawnego wzbogacenia Wynajmującego (np. T. P. K. otrzymuje znaczne ulepszenia bez wynagrodzenia, a następnie żąda kar i odszkodowań). Alternatywnie, roszczenie o zwrot nakładów koniecznych, które zwiększyły wartość nieruchomości (art. 676 KC). Wartość adaptacji wymaga wyceny.</w:t>
      </w:r>
    </w:p>
    <w:p>
      <w:pPr>
        <w:pStyle w:val="Compact"/>
        <w:numPr>
          <w:ilvl w:val="2"/>
          <w:numId w:val="1019"/>
        </w:numPr>
      </w:pPr>
      <w:r>
        <w:rPr>
          <w:b/>
          <w:bCs/>
        </w:rPr>
        <w:t xml:space="preserve">Odsetki:</w:t>
      </w:r>
      <w:r>
        <w:t xml:space="preserve"> </w:t>
      </w:r>
      <w:r>
        <w:t xml:space="preserve">Odsetki ustawowe za opóźnienie w transakcjach handlowych od poszczególnych kwot od daty wymagalności, np. od zwrotu kaucji od dnia wypowiedzenia umowy (25.05.2024 r.), od kosztów napraw od dnia potrącenia (10.05.2024 r.). Orzecznictwo wskazuje, że odsetki w transakcjach handlowych są standardowo zasądzane [1].</w:t>
      </w:r>
    </w:p>
    <w:p>
      <w:pPr>
        <w:pStyle w:val="Compact"/>
        <w:numPr>
          <w:ilvl w:val="1"/>
          <w:numId w:val="1018"/>
        </w:numPr>
      </w:pPr>
      <w:r>
        <w:rPr>
          <w:b/>
          <w:bCs/>
        </w:rPr>
        <w:t xml:space="preserve">Daty graniczne i przedawnienie:</w:t>
      </w:r>
    </w:p>
    <w:p>
      <w:pPr>
        <w:pStyle w:val="Compact"/>
        <w:numPr>
          <w:ilvl w:val="2"/>
          <w:numId w:val="1021"/>
        </w:numPr>
      </w:pPr>
      <w:r>
        <w:t xml:space="preserve">Roszczenia z umowy najmu między przedsiębiorcami przedawniają się z upływem 3 lat (art. 118 KC).</w:t>
      </w:r>
    </w:p>
    <w:p>
      <w:pPr>
        <w:pStyle w:val="Compact"/>
        <w:numPr>
          <w:ilvl w:val="2"/>
          <w:numId w:val="1021"/>
        </w:numPr>
      </w:pPr>
      <w:r>
        <w:t xml:space="preserve">Termin rozpoczęcia biegu przedawnienia dla większości roszczeń to data ich wymagalności (np. zwrot kaucji od 25.05.2024 r., roszczenie o zwrot kosztów napraw od 10.05.2024 r.). Wszystkie roszczenia są świeże (2024 r.), więc termin przedawnienia nie stanowi na razie zagrożenia.</w:t>
      </w:r>
    </w:p>
    <w:bookmarkEnd w:id="14"/>
    <w:bookmarkStart w:id="15" w:name="iii.-rejestr-ryzyk-i-szans"/>
    <w:p>
      <w:pPr>
        <w:pStyle w:val="Heading3"/>
      </w:pPr>
      <w:r>
        <w:t xml:space="preserve">III. Rejestr ryzyk i szans</w:t>
      </w:r>
    </w:p>
    <w:p>
      <w:pPr>
        <w:pStyle w:val="FirstParagraph"/>
      </w:pPr>
      <w:r>
        <w:rPr>
          <w:b/>
          <w:bCs/>
        </w:rPr>
        <w:t xml:space="preserve">Mocne strony sprawy Najemcy:</w:t>
      </w:r>
      <w:r>
        <w:t xml:space="preserve"> </w:t>
      </w:r>
      <w:r>
        <w:t xml:space="preserve">*</w:t>
      </w:r>
      <w:r>
        <w:t xml:space="preserve"> </w:t>
      </w:r>
      <w:r>
        <w:rPr>
          <w:b/>
          <w:bCs/>
        </w:rPr>
        <w:t xml:space="preserve">Wady lokalu:</w:t>
      </w:r>
      <w:r>
        <w:t xml:space="preserve"> </w:t>
      </w:r>
      <w:r>
        <w:t xml:space="preserve">Udokumentowane wadami w protokole technicznym z 15.01.2024 r. [Źródło 1], a następnie pogłębiającymi się wadami (przecieki, wilgoć, awarie wentylacji) uniemożliwiającymi prowadzenie działalności gastronomicznej [Źródło 1].</w:t>
      </w:r>
      <w:r>
        <w:t xml:space="preserve"> </w:t>
      </w:r>
      <w:r>
        <w:t xml:space="preserve">*</w:t>
      </w:r>
      <w:r>
        <w:t xml:space="preserve"> </w:t>
      </w:r>
      <w:r>
        <w:rPr>
          <w:b/>
          <w:bCs/>
        </w:rPr>
        <w:t xml:space="preserve">Wezwanie do usunięcia usterek:</w:t>
      </w:r>
      <w:r>
        <w:t xml:space="preserve"> </w:t>
      </w:r>
      <w:r>
        <w:t xml:space="preserve">M. A. N. dochowała należytej staranności, wzywając Wynajmującego do napraw [Źródło 1].</w:t>
      </w:r>
      <w:r>
        <w:t xml:space="preserve"> </w:t>
      </w:r>
      <w:r>
        <w:t xml:space="preserve">*</w:t>
      </w:r>
      <w:r>
        <w:t xml:space="preserve"> </w:t>
      </w:r>
      <w:r>
        <w:rPr>
          <w:b/>
          <w:bCs/>
        </w:rPr>
        <w:t xml:space="preserve">Wstrzymanie czynszu:</w:t>
      </w:r>
      <w:r>
        <w:t xml:space="preserve"> </w:t>
      </w:r>
      <w:r>
        <w:t xml:space="preserve">Uprawnione na podstawie art. 664 § 2 KC z uwagi na wady lokalu.</w:t>
      </w:r>
      <w:r>
        <w:t xml:space="preserve"> </w:t>
      </w:r>
      <w:r>
        <w:t xml:space="preserve">*</w:t>
      </w:r>
      <w:r>
        <w:t xml:space="preserve"> </w:t>
      </w:r>
      <w:r>
        <w:rPr>
          <w:b/>
          <w:bCs/>
        </w:rPr>
        <w:t xml:space="preserve">Potrącenie kosztów napraw:</w:t>
      </w:r>
      <w:r>
        <w:t xml:space="preserve"> </w:t>
      </w:r>
      <w:r>
        <w:t xml:space="preserve">Uzyskanie zwrotu kosztów doraźnych napraw jest dobrze udokumentowane [Źródło 1] i zgodne z art. 663 KC.</w:t>
      </w:r>
      <w:r>
        <w:t xml:space="preserve"> </w:t>
      </w:r>
      <w:r>
        <w:t xml:space="preserve">*</w:t>
      </w:r>
      <w:r>
        <w:t xml:space="preserve"> </w:t>
      </w:r>
      <w:r>
        <w:rPr>
          <w:b/>
          <w:bCs/>
        </w:rPr>
        <w:t xml:space="preserve">Nieprecyzyjność opłaty administracyjnej:</w:t>
      </w:r>
      <w:r>
        <w:t xml:space="preserve"> </w:t>
      </w:r>
      <w:r>
        <w:t xml:space="preserve">Brak załączonego cennika czyni żądanie opłaty administracyjnej nieuzasadnionym [Źródło 1], co jest poparte orzecznictwem [5, 11].</w:t>
      </w:r>
      <w:r>
        <w:t xml:space="preserve"> </w:t>
      </w:r>
      <w:r>
        <w:t xml:space="preserve">*</w:t>
      </w:r>
      <w:r>
        <w:t xml:space="preserve"> </w:t>
      </w:r>
      <w:r>
        <w:rPr>
          <w:b/>
          <w:bCs/>
        </w:rPr>
        <w:t xml:space="preserve">Bezzasadność wypowiedzenia i kary umownej:</w:t>
      </w:r>
      <w:r>
        <w:t xml:space="preserve"> </w:t>
      </w:r>
      <w:r>
        <w:t xml:space="preserve">Wypowiedzenie Wynajmującego jest prawdopodobnie bezskuteczne, co automatycznie unieważnia żądanie kary umownej.</w:t>
      </w:r>
    </w:p>
    <w:p>
      <w:pPr>
        <w:pStyle w:val="BodyText"/>
      </w:pPr>
      <w:r>
        <w:rPr>
          <w:b/>
          <w:bCs/>
        </w:rPr>
        <w:t xml:space="preserve">Słabe strony sprawy Najemcy:</w:t>
      </w:r>
      <w:r>
        <w:t xml:space="preserve"> </w:t>
      </w:r>
      <w:r>
        <w:t xml:space="preserve">*</w:t>
      </w:r>
      <w:r>
        <w:t xml:space="preserve"> </w:t>
      </w:r>
      <w:r>
        <w:rPr>
          <w:b/>
          <w:bCs/>
        </w:rPr>
        <w:t xml:space="preserve">Klauzula o adaptacjach:</w:t>
      </w:r>
      <w:r>
        <w:t xml:space="preserve"> </w:t>
      </w:r>
      <w:r>
        <w:t xml:space="preserve">Zapis w §7 ust. 1 o przejściu instalacji stałych na własność Wynajmującego bez odszkodowania [Źródło 1] jest niekorzystny i trudny do zakwestionowania bez solidnych argumentów o jego abuzywności lub sprzeczności z zasadami współżycia społecznego (co w B2B jest trudniejsze niż w B2C).</w:t>
      </w:r>
      <w:r>
        <w:t xml:space="preserve"> </w:t>
      </w:r>
      <w:r>
        <w:t xml:space="preserve">*</w:t>
      </w:r>
      <w:r>
        <w:t xml:space="preserve"> </w:t>
      </w:r>
      <w:r>
        <w:rPr>
          <w:b/>
          <w:bCs/>
        </w:rPr>
        <w:t xml:space="preserve">Zarzut podnajmu/przeróbek:</w:t>
      </w:r>
      <w:r>
        <w:t xml:space="preserve"> </w:t>
      </w:r>
      <w:r>
        <w:t xml:space="preserve">Chociaż w kazusie brak dowodów na podnajem czy nieautoryzowane przeróbki, T. P. K. może przedstawić dowody, które będzie trzeba obalić. Konieczne jest upewnienie się, że M. A. N. nie naruszyła faktycznie tych postanowień.</w:t>
      </w:r>
      <w:r>
        <w:t xml:space="preserve"> </w:t>
      </w:r>
      <w:r>
        <w:t xml:space="preserve">*</w:t>
      </w:r>
      <w:r>
        <w:t xml:space="preserve"> </w:t>
      </w:r>
      <w:r>
        <w:rPr>
          <w:b/>
          <w:bCs/>
        </w:rPr>
        <w:t xml:space="preserve">Brak formalnego wypowiedzenia umowy przez Najemcę:</w:t>
      </w:r>
      <w:r>
        <w:t xml:space="preserve"> </w:t>
      </w:r>
      <w:r>
        <w:t xml:space="preserve">M. A. N. nie wypowiedziała umowy z uwagi na wady, a jedynie wstrzymała czynsz, co mogło dać Wynajmującemu pretekst do wypowiedzenia. Jednakże, zgodnie z art. 664 § 2 KC, M. A. N. ma prawo do wypowiedzenia najmu bez zachowania terminów, jeśli wady uniemożliwiają umówione używanie.</w:t>
      </w:r>
    </w:p>
    <w:p>
      <w:pPr>
        <w:pStyle w:val="BodyText"/>
      </w:pPr>
      <w:r>
        <w:rPr>
          <w:b/>
          <w:bCs/>
        </w:rPr>
        <w:t xml:space="preserve">Kontrargumenty strony przeciwnej (Wynajmującego):</w:t>
      </w:r>
      <w:r>
        <w:t xml:space="preserve"> </w:t>
      </w:r>
      <w:r>
        <w:t xml:space="preserve">*</w:t>
      </w:r>
      <w:r>
        <w:t xml:space="preserve"> </w:t>
      </w:r>
      <w:r>
        <w:rPr>
          <w:b/>
          <w:bCs/>
        </w:rPr>
        <w:t xml:space="preserve">Niewykonanie obowiązku płatności czynszu:</w:t>
      </w:r>
      <w:r>
        <w:t xml:space="preserve"> </w:t>
      </w:r>
      <w:r>
        <w:t xml:space="preserve">T. P. K. będzie twierdził, że M. A. N. nie zapłaciła czynszu, co uprawniało go do wypowiedzenia umowy.</w:t>
      </w:r>
      <w:r>
        <w:t xml:space="preserve"> </w:t>
      </w:r>
      <w:r>
        <w:t xml:space="preserve">*</w:t>
      </w:r>
      <w:r>
        <w:t xml:space="preserve"> </w:t>
      </w:r>
      <w:r>
        <w:rPr>
          <w:b/>
          <w:bCs/>
        </w:rPr>
        <w:t xml:space="preserve">Rzekomy podnajem lub nieautoryzowane przeróbki:</w:t>
      </w:r>
      <w:r>
        <w:t xml:space="preserve"> </w:t>
      </w:r>
      <w:r>
        <w:t xml:space="preserve">T. P. K. będzie próbował udowodnić, że doszło do podnajmu lokalu lub nieautoryzowanych przeróbek, aby uzasadnić wypowiedzenie i naliczenie kar.</w:t>
      </w:r>
      <w:r>
        <w:t xml:space="preserve"> </w:t>
      </w:r>
      <w:r>
        <w:t xml:space="preserve">*</w:t>
      </w:r>
      <w:r>
        <w:t xml:space="preserve"> </w:t>
      </w:r>
      <w:r>
        <w:rPr>
          <w:b/>
          <w:bCs/>
        </w:rPr>
        <w:t xml:space="preserve">Zniszczenia lokalu:</w:t>
      </w:r>
      <w:r>
        <w:t xml:space="preserve"> </w:t>
      </w:r>
      <w:r>
        <w:t xml:space="preserve">T. P. K. będzie dochodzi*</w:t>
      </w:r>
      <w:r>
        <w:t xml:space="preserve"> </w:t>
      </w:r>
      <w:r>
        <w:rPr>
          <w:b/>
          <w:bCs/>
        </w:rPr>
        <w:t xml:space="preserve">Zniszczenia lokalu:</w:t>
      </w:r>
      <w:r>
        <w:t xml:space="preserve"> </w:t>
      </w:r>
      <w:r>
        <w:t xml:space="preserve">T. P. K. będzie dochodził zapłaty za rzekome zniszczenia w kwocie 24 500,00 zł brutto, opierając się na swoim jednostronnym protokole [Źródło 1]. Będzie to wymagało obalenia przez opinię biegłego Najemcy.</w:t>
      </w:r>
      <w:r>
        <w:t xml:space="preserve"> </w:t>
      </w:r>
      <w:r>
        <w:t xml:space="preserve">*</w:t>
      </w:r>
      <w:r>
        <w:t xml:space="preserve"> </w:t>
      </w:r>
      <w:r>
        <w:rPr>
          <w:b/>
          <w:bCs/>
        </w:rPr>
        <w:t xml:space="preserve">Ważność klauzuli o adaptacjach:</w:t>
      </w:r>
      <w:r>
        <w:t xml:space="preserve"> </w:t>
      </w:r>
      <w:r>
        <w:t xml:space="preserve">T. P. K. będzie bronił klauzuli §7 ust. 1 umowy o przejściu adaptacji na jego własność bez odszkodowania, co może skutkować utratą przez Najemcę poniesionych kosztów adaptacyjnych [Źródło 1].</w:t>
      </w:r>
    </w:p>
    <w:p>
      <w:pPr>
        <w:pStyle w:val="BodyText"/>
      </w:pPr>
      <w:r>
        <w:rPr>
          <w:b/>
          <w:bCs/>
        </w:rPr>
        <w:t xml:space="preserve">Rekomendowana strategia:</w:t>
      </w:r>
      <w:r>
        <w:t xml:space="preserve"> </w:t>
      </w:r>
      <w:r>
        <w:t xml:space="preserve">*</w:t>
      </w:r>
      <w:r>
        <w:t xml:space="preserve"> </w:t>
      </w:r>
      <w:r>
        <w:rPr>
          <w:b/>
          <w:bCs/>
        </w:rPr>
        <w:t xml:space="preserve">Postępowanie przedsądowe (negocjacje/mediacja):</w:t>
      </w:r>
      <w:r>
        <w:t xml:space="preserve"> </w:t>
      </w:r>
      <w:r>
        <w:t xml:space="preserve">Z uwagi na złożoność sprawy i konieczność dowodzenia wielu faktów, zaleca się podjęcie próby negocjacji lub mediacji. Wezwanie przedsądowe powinno jasno przedstawić stanowisko Najemcy i określić roszczenia, jednocześnie sugerując alternatywne rozwiązanie sporu. Mediacja może pozwolić na szybsze i mniej kosztowne rozwiązanie konfliktu.</w:t>
      </w:r>
      <w:r>
        <w:t xml:space="preserve"> </w:t>
      </w:r>
      <w:r>
        <w:t xml:space="preserve">*</w:t>
      </w:r>
      <w:r>
        <w:t xml:space="preserve"> </w:t>
      </w:r>
      <w:r>
        <w:rPr>
          <w:b/>
          <w:bCs/>
        </w:rPr>
        <w:t xml:space="preserve">Postępowanie sądowe:</w:t>
      </w:r>
      <w:r>
        <w:t xml:space="preserve"> </w:t>
      </w:r>
      <w:r>
        <w:t xml:space="preserve">W przypadku braku porozumienia w fazie przedsądowej, konieczne będzie wystąpienie na drogę sądową. Strategia procesowa powinna opierać się na konsekwentnym kwestionowaniu podstaw wypowiedzenia umowy przez Wynajmującego, bezzasadności naliczonych kar umownych i opłaty administracyjnej, a także na dochodzeniu roszczeń Najemcy z tytułu zwrotu kaucji, kosztów napraw oraz odszkodowania za utracone korzyści. Kluczowe będzie powołanie biegłego sądowego.</w:t>
      </w:r>
    </w:p>
    <w:bookmarkEnd w:id="15"/>
    <w:bookmarkEnd w:id="16"/>
    <w:bookmarkStart w:id="17" w:name="instrukcja-kolejnych-kroków"/>
    <w:p>
      <w:pPr>
        <w:pStyle w:val="Heading2"/>
      </w:pPr>
      <w:r>
        <w:t xml:space="preserve">Instrukcja kolejnych kroków</w:t>
      </w:r>
    </w:p>
    <w:p>
      <w:pPr>
        <w:pStyle w:val="Compact"/>
        <w:numPr>
          <w:ilvl w:val="0"/>
          <w:numId w:val="1022"/>
        </w:numPr>
      </w:pPr>
      <w:r>
        <w:rPr>
          <w:b/>
          <w:bCs/>
        </w:rPr>
        <w:t xml:space="preserve">Analiza i zebranie dodatkowych dokumentów (natychmiast):</w:t>
      </w:r>
    </w:p>
    <w:p>
      <w:pPr>
        <w:pStyle w:val="Compact"/>
        <w:numPr>
          <w:ilvl w:val="1"/>
          <w:numId w:val="1023"/>
        </w:numPr>
      </w:pPr>
      <w:r>
        <w:t xml:space="preserve">Szczegółowe dane księgowe Kawiarnia „C. S.” za okres przed i w trakcie najmu, w celu wyliczenia utraconych korzyści.</w:t>
      </w:r>
    </w:p>
    <w:p>
      <w:pPr>
        <w:pStyle w:val="Compact"/>
        <w:numPr>
          <w:ilvl w:val="1"/>
          <w:numId w:val="1023"/>
        </w:numPr>
      </w:pPr>
      <w:r>
        <w:t xml:space="preserve">Wszystkie dokumenty potwierdzające wykonanie adaptacji w lokalu oraz ich koszt (faktury, umowy z wykonawcami).</w:t>
      </w:r>
    </w:p>
    <w:p>
      <w:pPr>
        <w:pStyle w:val="Compact"/>
        <w:numPr>
          <w:ilvl w:val="1"/>
          <w:numId w:val="1023"/>
        </w:numPr>
      </w:pPr>
      <w:r>
        <w:t xml:space="preserve">Pełna korespondencja (e-e-mail, sms, listy) między Najemcą a T. P. K.m dotycząca wad lokalu, wezwań do napraw, wstrzymania czynszu, potrąceń i wypowiedzenia.</w:t>
      </w:r>
    </w:p>
    <w:p>
      <w:pPr>
        <w:pStyle w:val="Compact"/>
        <w:numPr>
          <w:ilvl w:val="1"/>
          <w:numId w:val="1023"/>
        </w:numPr>
      </w:pPr>
      <w:r>
        <w:t xml:space="preserve">Dokumentacja fotograficzna i/lub nagrania wideo przedstawiające wady lokalu i ich wpływ na możliwość prowadzenia działalności gastronomicznej.</w:t>
      </w:r>
    </w:p>
    <w:p>
      <w:pPr>
        <w:pStyle w:val="Compact"/>
        <w:numPr>
          <w:ilvl w:val="1"/>
          <w:numId w:val="1023"/>
        </w:numPr>
      </w:pPr>
      <w:r>
        <w:t xml:space="preserve">Dowody na brak podnajmu lub nieautoryzowanych przeróbek (np. oświadczenia, brak umów podnajmu).</w:t>
      </w:r>
    </w:p>
    <w:p>
      <w:pPr>
        <w:pStyle w:val="Compact"/>
        <w:numPr>
          <w:ilvl w:val="1"/>
          <w:numId w:val="1023"/>
        </w:numPr>
      </w:pPr>
      <w:r>
        <w:t xml:space="preserve">Cennik opłat administracyjnych (jeśli M. A. N. go otrzymała lub mogła uzyskać).</w:t>
      </w:r>
    </w:p>
    <w:p>
      <w:pPr>
        <w:pStyle w:val="Compact"/>
        <w:numPr>
          <w:ilvl w:val="1"/>
          <w:numId w:val="1023"/>
        </w:numPr>
      </w:pPr>
      <w:r>
        <w:t xml:space="preserve">Dokumentacja sanitarna lokalu (np. pozwolenia, decyzje sanepidu, jeśli była prowadzona).</w:t>
      </w:r>
    </w:p>
    <w:p>
      <w:pPr>
        <w:pStyle w:val="Compact"/>
        <w:numPr>
          <w:ilvl w:val="0"/>
          <w:numId w:val="1022"/>
        </w:numPr>
      </w:pPr>
      <w:r>
        <w:rPr>
          <w:b/>
          <w:bCs/>
        </w:rPr>
        <w:t xml:space="preserve">Przygotowanie i wysłanie Wezwania Przedsądowego (do 7 dni):</w:t>
      </w:r>
    </w:p>
    <w:p>
      <w:pPr>
        <w:pStyle w:val="Compact"/>
        <w:numPr>
          <w:ilvl w:val="1"/>
          <w:numId w:val="1024"/>
        </w:numPr>
      </w:pPr>
      <w:r>
        <w:t xml:space="preserve">Przygotować projekt Wezwania Przedsądowego (zgodnie z częścią IV kazusu), jasno przedstawiając żądania Najemcy, ich podstawy prawne oraz zagrożenie wniesieniem pozwu w przypadku braku reakcji.</w:t>
      </w:r>
    </w:p>
    <w:p>
      <w:pPr>
        <w:pStyle w:val="Compact"/>
        <w:numPr>
          <w:ilvl w:val="1"/>
          <w:numId w:val="1024"/>
        </w:numPr>
      </w:pPr>
      <w:r>
        <w:t xml:space="preserve">Wskazać 14-dniowy termin na wykonanie roszczeń i przedstawić alternatywę mediacji.</w:t>
      </w:r>
    </w:p>
    <w:p>
      <w:pPr>
        <w:pStyle w:val="Compact"/>
        <w:numPr>
          <w:ilvl w:val="1"/>
          <w:numId w:val="1024"/>
        </w:numPr>
      </w:pPr>
      <w:r>
        <w:t xml:space="preserve">Wysłać listem poleconym za potwierdzeniem odbioru do Wynajmującego.</w:t>
      </w:r>
    </w:p>
    <w:p>
      <w:pPr>
        <w:pStyle w:val="Compact"/>
        <w:numPr>
          <w:ilvl w:val="0"/>
          <w:numId w:val="1022"/>
        </w:numPr>
      </w:pPr>
      <w:r>
        <w:rPr>
          <w:b/>
          <w:bCs/>
        </w:rPr>
        <w:t xml:space="preserve">Monitorowanie odpowiedzi Wynajmującego (do 14 dni od wysłania wezwania):</w:t>
      </w:r>
    </w:p>
    <w:p>
      <w:pPr>
        <w:pStyle w:val="Compact"/>
        <w:numPr>
          <w:ilvl w:val="1"/>
          <w:numId w:val="1025"/>
        </w:numPr>
      </w:pPr>
      <w:r>
        <w:t xml:space="preserve">Czekać na reakcję Wynajmującego na Wezwanie Przedsądowe.</w:t>
      </w:r>
    </w:p>
    <w:p>
      <w:pPr>
        <w:pStyle w:val="Compact"/>
        <w:numPr>
          <w:ilvl w:val="1"/>
          <w:numId w:val="1025"/>
        </w:numPr>
      </w:pPr>
      <w:r>
        <w:t xml:space="preserve">W razie braku odpowiedzi lub odmowy spełnienia roszczeń, przejść do etapu sądowego.</w:t>
      </w:r>
    </w:p>
    <w:p>
      <w:pPr>
        <w:pStyle w:val="Compact"/>
        <w:numPr>
          <w:ilvl w:val="0"/>
          <w:numId w:val="1022"/>
        </w:numPr>
      </w:pPr>
      <w:r>
        <w:rPr>
          <w:b/>
          <w:bCs/>
        </w:rPr>
        <w:t xml:space="preserve">Przygotowanie Projektu Pozwu (po upływie terminu z wezwania przedsądowego, do 30 dni):</w:t>
      </w:r>
    </w:p>
    <w:p>
      <w:pPr>
        <w:pStyle w:val="Compact"/>
        <w:numPr>
          <w:ilvl w:val="1"/>
          <w:numId w:val="1026"/>
        </w:numPr>
      </w:pPr>
      <w:r>
        <w:t xml:space="preserve">Sporządzić Projekt Pozwu o zasądzenie kwoty (zwrotu części kaucji i odszkodowania), uwzględniając wszystkie roszczenia Najemcy.</w:t>
      </w:r>
    </w:p>
    <w:p>
      <w:pPr>
        <w:pStyle w:val="Compact"/>
        <w:numPr>
          <w:ilvl w:val="1"/>
          <w:numId w:val="1026"/>
        </w:numPr>
      </w:pPr>
      <w:r>
        <w:t xml:space="preserve">Załączyć zebrane dowody (fotografie, korespondencję, faktury za naprawy, protokół stanu technicznego).</w:t>
      </w:r>
    </w:p>
    <w:p>
      <w:pPr>
        <w:pStyle w:val="Compact"/>
        <w:numPr>
          <w:ilvl w:val="1"/>
          <w:numId w:val="1026"/>
        </w:numPr>
      </w:pPr>
      <w:r>
        <w:t xml:space="preserve">Zawrzeć wnioski dowodowe o powołanie biegłego sądowego (z zakresu budownictwa/instalacji oraz rzeczoznawcy majątkowego), zabezpieczenie dowodów (np. wgląd do lokalu przed ewentualnymi zmianami), żądanie udostępnienia dokumentów przez Wynajmującego (cennik administracyjny, faktury za rzekome naprawy).</w:t>
      </w:r>
    </w:p>
    <w:p>
      <w:pPr>
        <w:pStyle w:val="Compact"/>
        <w:numPr>
          <w:ilvl w:val="1"/>
          <w:numId w:val="1026"/>
        </w:numPr>
      </w:pPr>
      <w:r>
        <w:t xml:space="preserve">Zawrzeć wniosek o zabezpieczenie powództwa, np. poprzez zajęcie roszczenia Wynajmującego wobec kaucji lub zobowiązanie go do przedstawienia rachunków i kosztorysów wykonanych robót.</w:t>
      </w:r>
    </w:p>
    <w:p>
      <w:pPr>
        <w:pStyle w:val="Compact"/>
        <w:numPr>
          <w:ilvl w:val="0"/>
          <w:numId w:val="1022"/>
        </w:numPr>
      </w:pPr>
      <w:r>
        <w:rPr>
          <w:b/>
          <w:bCs/>
        </w:rPr>
        <w:t xml:space="preserve">Złożenie pozwu w sądzie (po przygotowaniu):</w:t>
      </w:r>
    </w:p>
    <w:p>
      <w:pPr>
        <w:pStyle w:val="Compact"/>
        <w:numPr>
          <w:ilvl w:val="1"/>
          <w:numId w:val="1027"/>
        </w:numPr>
      </w:pPr>
      <w:r>
        <w:t xml:space="preserve">Wnieść pozew do właściwego sądu rejonowego (ze względu na wartość przedmiotu sporu) lub okręgowego (jeśli wartość przedmiotu sporu przekracza 75 000 zł).</w:t>
      </w:r>
    </w:p>
    <w:p>
      <w:pPr>
        <w:pStyle w:val="Compact"/>
        <w:numPr>
          <w:ilvl w:val="1"/>
          <w:numId w:val="1027"/>
        </w:numPr>
      </w:pPr>
      <w:r>
        <w:t xml:space="preserve">Opłacić opłatę sądową od pozwu.</w:t>
      </w:r>
    </w:p>
    <w:bookmarkEnd w:id="17"/>
    <w:bookmarkStart w:id="18" w:name="X2f9d8e8eaef03a797d377193a6405fa01d2c699"/>
    <w:p>
      <w:pPr>
        <w:pStyle w:val="Heading2"/>
      </w:pPr>
      <w:r>
        <w:t xml:space="preserve">Wymagane dokumenty i pisma do przygotowania</w:t>
      </w:r>
    </w:p>
    <w:p>
      <w:pPr>
        <w:pStyle w:val="Compact"/>
        <w:numPr>
          <w:ilvl w:val="0"/>
          <w:numId w:val="1028"/>
        </w:numPr>
      </w:pPr>
      <w:r>
        <w:t xml:space="preserve">Szczegółowa opinia prawna dla Klienta (Marty M. A. N.) oceniająca zasadność zatrzymania kaucji przez Wynajmującego, możliwość potrącenia przez Najemcę kosztów naprawy i zasadność naliczonych kar umownych; zawierająca wyliczenia kwotowe i terminy przedawnienia.</w:t>
      </w:r>
    </w:p>
    <w:p>
      <w:pPr>
        <w:pStyle w:val="Compact"/>
        <w:numPr>
          <w:ilvl w:val="0"/>
          <w:numId w:val="1028"/>
        </w:numPr>
      </w:pPr>
      <w:r>
        <w:t xml:space="preserve">Wezwanie przedsądowe (ostrzeżenie przed pozew) do Wynajmującego w imieniu Najemcy: żądanie zwrotu zatrzymanej kaucji w części nieuzasadnionej, żądanie odszkodowania/zwrotu kosztów naprawy i ewentualne żądanie udostępnienia dokumentów (cennik, faktury wykonawcy wskazanego przez Wynajmującego). Termin na wykonanie roszczeń: 14 dni. Sformułować alternatywę mediacji.</w:t>
      </w:r>
    </w:p>
    <w:p>
      <w:pPr>
        <w:pStyle w:val="Compact"/>
        <w:numPr>
          <w:ilvl w:val="0"/>
          <w:numId w:val="1028"/>
        </w:numPr>
      </w:pPr>
      <w:r>
        <w:t xml:space="preserve">Projekt pozwu o zasądzenie kwoty (np. zwrotu części kaucji i odszkodowania) wraz z załącznikami dowodowymi i wnioskiem o zabezpieczenie powództwa (np. zabezpieczenie na kaucji, zobowiązanie Wynajmującego do przedstawienia rachunków i kosztorysów wykonanych robót).</w:t>
      </w:r>
    </w:p>
    <w:p>
      <w:pPr>
        <w:pStyle w:val="FirstParagraph"/>
      </w:pPr>
      <w:r>
        <w:t xml:space="preserve">[[PROPOSE_DOC: Opinia prawna]]</w:t>
      </w:r>
      <w:r>
        <w:t xml:space="preserve"> </w:t>
      </w:r>
      <w:r>
        <w:t xml:space="preserve">[[PROPOSE_DOC: Wezwanie przedsądowe]]</w:t>
      </w:r>
      <w:r>
        <w:t xml:space="preserve"> </w:t>
      </w:r>
      <w:r>
        <w:t xml:space="preserve">[[PROPOSE_DOC: Pozew o zasądzenie kwoty]]</w:t>
      </w:r>
    </w:p>
    <w:p>
      <w:r>
        <w:pict>
          <v:rect style="width:0;height:1.5pt" o:hralign="center" o:hrstd="t" o:hr="t"/>
        </w:pict>
      </w:r>
    </w:p>
    <w:bookmarkEnd w:id="18"/>
    <w:bookmarkEnd w:id="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2026-10-05T19:14:26Z</dcterms:created>
  <dcterms:modified xsi:type="dcterms:W3CDTF">2026-10-05T19:14:26Z</dcterms:modified>
</cp:coreProperties>
</file>

<file path=docProps/custom.xml><?xml version="1.0" encoding="utf-8"?>
<Properties xmlns="http://schemas.openxmlformats.org/officeDocument/2006/custom-properties" xmlns:vt="http://schemas.openxmlformats.org/officeDocument/2006/docPropsVTypes"/>
</file>