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sprawa-50-rozwiązanie-casebox"/>
    <w:p>
      <w:pPr>
        <w:pStyle w:val="Heading1"/>
      </w:pPr>
      <w:r>
        <w:t xml:space="preserve">Sprawa 50 — rozwiązanie CaseBox</w:t>
      </w:r>
    </w:p>
    <w:bookmarkStart w:id="9" w:name="część-ii.-rozwiązanie-case-project-api"/>
    <w:p>
      <w:pPr>
        <w:pStyle w:val="Heading2"/>
      </w:pPr>
      <w:r>
        <w:t xml:space="preserve">CZĘŚĆ II. ROZWIĄZANIE (Case Project API)</w:t>
      </w:r>
    </w:p>
    <w:bookmarkEnd w:id="9"/>
    <w:bookmarkStart w:id="10" w:name="podsumowanie-sprawy"/>
    <w:p>
      <w:pPr>
        <w:pStyle w:val="Heading2"/>
      </w:pPr>
      <w:r>
        <w:t xml:space="preserve">Podsumowanie sprawy</w:t>
      </w:r>
    </w:p>
    <w:p>
      <w:pPr>
        <w:pStyle w:val="FirstParagraph"/>
      </w:pPr>
      <w:r>
        <w:t xml:space="preserve">Pan M. N. (Nabywca) zawarł z D. N.-B. Sp. z o.o. umowę deweloperską nr DEV/████/78 na zakup lokalu mieszkalnego nr 23. Termin przekazania lokalu i zawarcia aktu notarialnego przeniesienia własności został ustalony na 30 czerwca 2024 r. [Źródło 1]. Deweloper opóźnił się z wykonaniem zobowiązania, a prace budowlane nadal trwają na dzień 10 sierpnia 2025 r. [Źródło 1]. Klient poniósł koszty najmu lokalu zastępczego oraz przechowania mebli [Źródło 1]. Umowa przewiduje kary umowne za zwłokę oraz prawo do odszkodowania. Klient wezwał Dewelopera do zapłaty kar i odszkodowania, lecz Deweloper odmówił, powołując się na siłę wyższą (opóźnienia w dostawach materiałów, brak nadania numeru budynku) oraz błędną interpretację umowy, oferując polubownie zaniżoną kwotę [Źródło 1]. Klient wstrzymał dalsze płatności po pierwszej transzy i rozważa odstąpienie od umowy oraz zabezpieczenie roszczeń sądowych [Źródło 1].</w:t>
      </w:r>
    </w:p>
    <w:bookmarkEnd w:id="10"/>
    <w:bookmarkStart w:id="11" w:name="kluczowe-dane"/>
    <w:p>
      <w:pPr>
        <w:pStyle w:val="Heading2"/>
      </w:pPr>
      <w:r>
        <w:t xml:space="preserve">Kluczowe dane</w:t>
      </w:r>
    </w:p>
    <w:p>
      <w:pPr>
        <w:pStyle w:val="Compact"/>
        <w:numPr>
          <w:ilvl w:val="0"/>
          <w:numId w:val="1001"/>
        </w:numPr>
      </w:pPr>
      <w:r>
        <w:rPr>
          <w:b/>
          <w:bCs/>
        </w:rPr>
        <w:t xml:space="preserve">Sygnatura wewnętrzna Klienta:</w:t>
      </w:r>
      <w:r>
        <w:t xml:space="preserve"> </w:t>
      </w:r>
      <w:r>
        <w:t xml:space="preserve">sprawa ████/██/███ [Źródło 1].</w:t>
      </w:r>
    </w:p>
    <w:p>
      <w:pPr>
        <w:pStyle w:val="Compact"/>
        <w:numPr>
          <w:ilvl w:val="0"/>
          <w:numId w:val="1001"/>
        </w:numPr>
      </w:pPr>
      <w:r>
        <w:rPr>
          <w:b/>
          <w:bCs/>
        </w:rPr>
        <w:t xml:space="preserve">Klient:</w:t>
      </w:r>
      <w:r>
        <w:t xml:space="preserve"> </w:t>
      </w:r>
      <w:r>
        <w:t xml:space="preserve">Pan M. N. (Nabywca) [Źródło 1].</w:t>
      </w:r>
    </w:p>
    <w:p>
      <w:pPr>
        <w:pStyle w:val="Compact"/>
        <w:numPr>
          <w:ilvl w:val="0"/>
          <w:numId w:val="1001"/>
        </w:numPr>
      </w:pPr>
      <w:r>
        <w:rPr>
          <w:b/>
          <w:bCs/>
        </w:rPr>
        <w:t xml:space="preserve">Strona przeciwna:</w:t>
      </w:r>
      <w:r>
        <w:t xml:space="preserve"> </w:t>
      </w:r>
      <w:r>
        <w:t xml:space="preserve">N.-B. Sp. z o.o. (Deweloper), KRS ██████████ [Źródło 1].</w:t>
      </w:r>
    </w:p>
    <w:p>
      <w:pPr>
        <w:pStyle w:val="Compact"/>
        <w:numPr>
          <w:ilvl w:val="0"/>
          <w:numId w:val="1001"/>
        </w:numPr>
      </w:pPr>
      <w:r>
        <w:rPr>
          <w:b/>
          <w:bCs/>
        </w:rPr>
        <w:t xml:space="preserve">Data zawarcia umowy deweloperskiej:</w:t>
      </w:r>
      <w:r>
        <w:t xml:space="preserve"> </w:t>
      </w:r>
      <w:r>
        <w:t xml:space="preserve">15 października 2022 roku [Źródło 1].</w:t>
      </w:r>
    </w:p>
    <w:p>
      <w:pPr>
        <w:pStyle w:val="Compact"/>
        <w:numPr>
          <w:ilvl w:val="0"/>
          <w:numId w:val="1001"/>
        </w:numPr>
      </w:pPr>
      <w:r>
        <w:rPr>
          <w:b/>
          <w:bCs/>
        </w:rPr>
        <w:t xml:space="preserve">Numer umowy deweloperskiej:</w:t>
      </w:r>
      <w:r>
        <w:t xml:space="preserve"> </w:t>
      </w:r>
      <w:r>
        <w:t xml:space="preserve">DEV/████/78 [Źródło 1].</w:t>
      </w:r>
    </w:p>
    <w:p>
      <w:pPr>
        <w:pStyle w:val="Compact"/>
        <w:numPr>
          <w:ilvl w:val="0"/>
          <w:numId w:val="1001"/>
        </w:numPr>
      </w:pPr>
      <w:r>
        <w:rPr>
          <w:b/>
          <w:bCs/>
        </w:rPr>
        <w:t xml:space="preserve">Numer księgi wieczystej lokalu:</w:t>
      </w:r>
      <w:r>
        <w:t xml:space="preserve"> </w:t>
      </w:r>
      <w:r>
        <w:t xml:space="preserve">KW ██/████/████ [Źródło 1].</w:t>
      </w:r>
    </w:p>
    <w:p>
      <w:pPr>
        <w:pStyle w:val="Compact"/>
        <w:numPr>
          <w:ilvl w:val="0"/>
          <w:numId w:val="1001"/>
        </w:numPr>
      </w:pPr>
      <w:r>
        <w:rPr>
          <w:b/>
          <w:bCs/>
        </w:rPr>
        <w:t xml:space="preserve">Lokal mieszkalny:</w:t>
      </w:r>
      <w:r>
        <w:t xml:space="preserve"> </w:t>
      </w:r>
      <w:r>
        <w:t xml:space="preserve">nr 23 o powierzchni 52,34 m2 [Źródło 1].</w:t>
      </w:r>
    </w:p>
    <w:p>
      <w:pPr>
        <w:pStyle w:val="Compact"/>
        <w:numPr>
          <w:ilvl w:val="0"/>
          <w:numId w:val="1001"/>
        </w:numPr>
      </w:pPr>
      <w:r>
        <w:rPr>
          <w:b/>
          <w:bCs/>
        </w:rPr>
        <w:t xml:space="preserve">Cena brutto lokalu:</w:t>
      </w:r>
      <w:r>
        <w:t xml:space="preserve"> </w:t>
      </w:r>
      <w:r>
        <w:t xml:space="preserve">520 000,00 zł [Źródło 1].</w:t>
      </w:r>
    </w:p>
    <w:p>
      <w:pPr>
        <w:pStyle w:val="Compact"/>
        <w:numPr>
          <w:ilvl w:val="0"/>
          <w:numId w:val="1001"/>
        </w:numPr>
      </w:pPr>
      <w:r>
        <w:rPr>
          <w:b/>
          <w:bCs/>
        </w:rPr>
        <w:t xml:space="preserve">Wpłacona kwota (pierwsza transza):</w:t>
      </w:r>
      <w:r>
        <w:t xml:space="preserve"> </w:t>
      </w:r>
      <w:r>
        <w:t xml:space="preserve">52 000,00 zł [Źródło 1].</w:t>
      </w:r>
    </w:p>
    <w:p>
      <w:pPr>
        <w:pStyle w:val="Compact"/>
        <w:numPr>
          <w:ilvl w:val="0"/>
          <w:numId w:val="1001"/>
        </w:numPr>
      </w:pPr>
      <w:r>
        <w:rPr>
          <w:b/>
          <w:bCs/>
        </w:rPr>
        <w:t xml:space="preserve">Termin przekazania lokalu i zawarcia aktu notarialnego:</w:t>
      </w:r>
      <w:r>
        <w:t xml:space="preserve"> </w:t>
      </w:r>
      <w:r>
        <w:t xml:space="preserve">30 czerwca 2024 r. [Źródło 1].</w:t>
      </w:r>
    </w:p>
    <w:p>
      <w:pPr>
        <w:pStyle w:val="Compact"/>
        <w:numPr>
          <w:ilvl w:val="0"/>
          <w:numId w:val="1001"/>
        </w:numPr>
      </w:pPr>
      <w:r>
        <w:rPr>
          <w:b/>
          <w:bCs/>
        </w:rPr>
        <w:t xml:space="preserve">Proponowane nowe terminy (Deweloper):</w:t>
      </w:r>
      <w:r>
        <w:t xml:space="preserve"> </w:t>
      </w:r>
      <w:r>
        <w:t xml:space="preserve">30.09.2024, 31.03.2025, 30.06.2025 [Źródło 1].</w:t>
      </w:r>
    </w:p>
    <w:p>
      <w:pPr>
        <w:pStyle w:val="Compact"/>
        <w:numPr>
          <w:ilvl w:val="0"/>
          <w:numId w:val="1001"/>
        </w:numPr>
      </w:pPr>
      <w:r>
        <w:rPr>
          <w:b/>
          <w:bCs/>
        </w:rPr>
        <w:t xml:space="preserve">Kara umowna (§11 Umowy):</w:t>
      </w:r>
      <w:r>
        <w:t xml:space="preserve"> </w:t>
      </w:r>
      <w:r>
        <w:t xml:space="preserve">0,05% ceny brutto lokalu za każdy dzień zwłoki [Źródło 1].</w:t>
      </w:r>
    </w:p>
    <w:p>
      <w:pPr>
        <w:pStyle w:val="Compact"/>
        <w:numPr>
          <w:ilvl w:val="0"/>
          <w:numId w:val="1001"/>
        </w:numPr>
      </w:pPr>
      <w:r>
        <w:rPr>
          <w:b/>
          <w:bCs/>
        </w:rPr>
        <w:t xml:space="preserve">Maksymalna kara umowna (§11 Umowy):</w:t>
      </w:r>
      <w:r>
        <w:t xml:space="preserve"> </w:t>
      </w:r>
      <w:r>
        <w:t xml:space="preserve">10% ceny brutto [Źródło 1].</w:t>
      </w:r>
    </w:p>
    <w:p>
      <w:pPr>
        <w:pStyle w:val="Compact"/>
        <w:numPr>
          <w:ilvl w:val="0"/>
          <w:numId w:val="1001"/>
        </w:numPr>
      </w:pPr>
      <w:r>
        <w:rPr>
          <w:b/>
          <w:bCs/>
        </w:rPr>
        <w:t xml:space="preserve">Prawo Nabywcy do odszkodowania i odsetek ustawowych za opóźnienie Dewelopera (§10 ust. 1 Umowy)</w:t>
      </w:r>
      <w:r>
        <w:t xml:space="preserve"> </w:t>
      </w:r>
      <w:r>
        <w:t xml:space="preserve">[Źródło 1].</w:t>
      </w:r>
    </w:p>
    <w:p>
      <w:pPr>
        <w:pStyle w:val="Compact"/>
        <w:numPr>
          <w:ilvl w:val="0"/>
          <w:numId w:val="1001"/>
        </w:numPr>
      </w:pPr>
      <w:r>
        <w:rPr>
          <w:b/>
          <w:bCs/>
        </w:rPr>
        <w:t xml:space="preserve">Prawo Nabywcy do odstąpienia od Umowy:</w:t>
      </w:r>
      <w:r>
        <w:t xml:space="preserve"> </w:t>
      </w:r>
      <w:r>
        <w:t xml:space="preserve">jeśli zwłoka Dewelopera przekroczy 180 dni (§10 ust. 2 Umowy) [Źródło 1].</w:t>
      </w:r>
    </w:p>
    <w:p>
      <w:pPr>
        <w:pStyle w:val="Compact"/>
        <w:numPr>
          <w:ilvl w:val="0"/>
          <w:numId w:val="1001"/>
        </w:numPr>
      </w:pPr>
      <w:r>
        <w:rPr>
          <w:b/>
          <w:bCs/>
        </w:rPr>
        <w:t xml:space="preserve">Powołane przez Dewelopera okoliczności „siły wyższej”:</w:t>
      </w:r>
      <w:r>
        <w:t xml:space="preserve"> </w:t>
      </w:r>
      <w:r>
        <w:t xml:space="preserve">„opóźnienia związane z dostawami materiałów oraz brakiem nadania numeru budynku” [Źródło 1].</w:t>
      </w:r>
    </w:p>
    <w:p>
      <w:pPr>
        <w:pStyle w:val="Compact"/>
        <w:numPr>
          <w:ilvl w:val="0"/>
          <w:numId w:val="1001"/>
        </w:numPr>
      </w:pPr>
      <w:r>
        <w:rPr>
          <w:b/>
          <w:bCs/>
        </w:rPr>
        <w:t xml:space="preserve">Wezwane przez Klienta kwoty (do 30.09.2024):</w:t>
      </w:r>
    </w:p>
    <w:p>
      <w:pPr>
        <w:pStyle w:val="Compact"/>
        <w:numPr>
          <w:ilvl w:val="1"/>
          <w:numId w:val="1002"/>
        </w:numPr>
      </w:pPr>
      <w:r>
        <w:t xml:space="preserve">Kary umowne: 23 920,00 zł (za 92 dni) [Źródło 1].</w:t>
      </w:r>
    </w:p>
    <w:p>
      <w:pPr>
        <w:pStyle w:val="Compact"/>
        <w:numPr>
          <w:ilvl w:val="1"/>
          <w:numId w:val="1002"/>
        </w:numPr>
      </w:pPr>
      <w:r>
        <w:t xml:space="preserve">Odszkodowanie za koszty najmu lokalu zastępczego: 19 200,00 zł (za 6 miesięcy) [Źródło 1].</w:t>
      </w:r>
    </w:p>
    <w:p>
      <w:pPr>
        <w:pStyle w:val="Compact"/>
        <w:numPr>
          <w:ilvl w:val="1"/>
          <w:numId w:val="1002"/>
        </w:numPr>
      </w:pPr>
      <w:r>
        <w:t xml:space="preserve">Koszty przechowania mebli: 1 200,00 zł [Źródło 1].</w:t>
      </w:r>
    </w:p>
    <w:p>
      <w:pPr>
        <w:pStyle w:val="Compact"/>
        <w:numPr>
          <w:ilvl w:val="1"/>
          <w:numId w:val="1002"/>
        </w:numPr>
      </w:pPr>
      <w:r>
        <w:t xml:space="preserve">Łącznie: 44 320,00 zł [Źródło 1].</w:t>
      </w:r>
    </w:p>
    <w:p>
      <w:pPr>
        <w:pStyle w:val="Compact"/>
        <w:numPr>
          <w:ilvl w:val="0"/>
          <w:numId w:val="1001"/>
        </w:numPr>
      </w:pPr>
      <w:r>
        <w:rPr>
          <w:b/>
          <w:bCs/>
        </w:rPr>
        <w:t xml:space="preserve">Oferta polubowna Dewelopera:</w:t>
      </w:r>
      <w:r>
        <w:t xml:space="preserve"> </w:t>
      </w:r>
      <w:r>
        <w:t xml:space="preserve">6 000,00 zł [Źródło 1].</w:t>
      </w:r>
    </w:p>
    <w:p>
      <w:pPr>
        <w:pStyle w:val="Compact"/>
        <w:numPr>
          <w:ilvl w:val="0"/>
          <w:numId w:val="1001"/>
        </w:numPr>
      </w:pPr>
      <w:r>
        <w:rPr>
          <w:b/>
          <w:bCs/>
        </w:rPr>
        <w:t xml:space="preserve">Aktualna data stanu faktycznego:</w:t>
      </w:r>
      <w:r>
        <w:t xml:space="preserve"> </w:t>
      </w:r>
      <w:r>
        <w:t xml:space="preserve">10 sierpnia 2025 r. [Źródło 1].</w:t>
      </w:r>
    </w:p>
    <w:bookmarkEnd w:id="11"/>
    <w:bookmarkStart w:id="12" w:name="żądania-i-twierdzenia-stron"/>
    <w:p>
      <w:pPr>
        <w:pStyle w:val="Heading2"/>
      </w:pPr>
      <w:r>
        <w:t xml:space="preserve">Żądania i twierdzenia stron</w:t>
      </w:r>
    </w:p>
    <w:p>
      <w:pPr>
        <w:pStyle w:val="FirstParagraph"/>
      </w:pPr>
      <w:r>
        <w:rPr>
          <w:b/>
          <w:bCs/>
        </w:rPr>
        <w:t xml:space="preserve">Klient (Pan M. N.):</w:t>
      </w:r>
      <w:r>
        <w:t xml:space="preserve"> </w:t>
      </w:r>
      <w:r>
        <w:t xml:space="preserve">* Żąda zapłaty kar umownych za okres zwłoki od 1 lipca 2024 r. do dnia zawarcia aktu przeniesienia własności [Źródło 1].</w:t>
      </w:r>
      <w:r>
        <w:t xml:space="preserve"> </w:t>
      </w:r>
      <w:r>
        <w:t xml:space="preserve">* Domaga się odszkodowania za poniesione koszty najmu lokalu zastępczego, koszty przeprowadzki oraz przechowania rzeczy [Źródło 1].</w:t>
      </w:r>
      <w:r>
        <w:t xml:space="preserve"> </w:t>
      </w:r>
      <w:r>
        <w:t xml:space="preserve">* Rozważa odstąpienie od Umowy i zwrot wpłaconych kwot wraz z odsetkami, jeśli zwłoka przekroczy 180 dni lub akt nie zostanie zawarty do ostatecznego terminu [Źródło 1].</w:t>
      </w:r>
      <w:r>
        <w:t xml:space="preserve"> </w:t>
      </w:r>
      <w:r>
        <w:t xml:space="preserve">* Oczekuje zabezpieczenia roszczeń sądowych [Źródło 1].</w:t>
      </w:r>
    </w:p>
    <w:p>
      <w:pPr>
        <w:pStyle w:val="BodyText"/>
      </w:pPr>
      <w:r>
        <w:rPr>
          <w:b/>
          <w:bCs/>
        </w:rPr>
        <w:t xml:space="preserve">Strona przeciwna (N.-B. Sp. z o.o. – Deweloper):</w:t>
      </w:r>
      <w:r>
        <w:t xml:space="preserve"> </w:t>
      </w:r>
      <w:r>
        <w:t xml:space="preserve">* Odmówiła wypłaty kar umownych i odszkodowania [Źródło 1].</w:t>
      </w:r>
      <w:r>
        <w:t xml:space="preserve"> </w:t>
      </w:r>
      <w:r>
        <w:t xml:space="preserve">* Powołuje się na klauzulę siły wyższej (§12 Umowy), argumentując, że opóźnienia są wynikiem „opóźnień związanych z dostawami materiałów oraz brakiem nadania numeru budynku” [Źródło 1].</w:t>
      </w:r>
      <w:r>
        <w:t xml:space="preserve"> </w:t>
      </w:r>
      <w:r>
        <w:t xml:space="preserve">* Kwestionuje interpretację §10 Umowy przez Nabywcę [Źródło 1].</w:t>
      </w:r>
      <w:r>
        <w:t xml:space="preserve"> </w:t>
      </w:r>
      <w:r>
        <w:t xml:space="preserve">* Zaproponowała polubowne rozwiązanie sporu poprzez zapłatę kwoty 6 000,00 zł [Źródło 1].</w:t>
      </w:r>
    </w:p>
    <w:bookmarkEnd w:id="12"/>
    <w:bookmarkStart w:id="19" w:name="ocena-prawna"/>
    <w:p>
      <w:pPr>
        <w:pStyle w:val="Heading2"/>
      </w:pPr>
      <w:r>
        <w:t xml:space="preserve">Ocena prawna</w:t>
      </w:r>
    </w:p>
    <w:bookmarkStart w:id="13" w:name="X013b2566b6b9ccd071bdec797c0ff7e6c100a0f"/>
    <w:p>
      <w:pPr>
        <w:pStyle w:val="Heading3"/>
      </w:pPr>
      <w:r>
        <w:t xml:space="preserve">1. Kwalifikacja prawna stanu faktycznego, ocena ważności/skuteczności kluczowych postanowień umowy i czynności stron, zastosowanie właściwych przepisów</w:t>
      </w:r>
    </w:p>
    <w:p>
      <w:pPr>
        <w:pStyle w:val="Compact"/>
        <w:numPr>
          <w:ilvl w:val="0"/>
          <w:numId w:val="1003"/>
        </w:numPr>
      </w:pPr>
      <w:r>
        <w:rPr>
          <w:b/>
          <w:bCs/>
        </w:rPr>
        <w:t xml:space="preserve">Kwalifikacja prawna:</w:t>
      </w:r>
      <w:r>
        <w:t xml:space="preserve"> </w:t>
      </w:r>
      <w:r>
        <w:t xml:space="preserve">Stan faktyczny wskazuje na nienależyte wykonanie zobowiązania przez Dewelopera, polegające na opóźnieniu w przekazaniu lokalu i zawarciu aktu notarialnego przeniesienia własności. Podstawę odpowiedzialności Dewelopera stanowi art. 471 Kodeksu cywilnego (KC), który stanowi, że dłużnik obowiązany jest do naprawienia szkody wynikłej z niewykonania lub nienależytego wykonania zobowiązania, chyba że niewykonanie lub nienależyte wykonanie jest następstwem okoliczności, za które dłużnik odpowiedzialności nie ponosi.</w:t>
      </w:r>
    </w:p>
    <w:p>
      <w:pPr>
        <w:pStyle w:val="Compact"/>
        <w:numPr>
          <w:ilvl w:val="0"/>
          <w:numId w:val="1003"/>
        </w:numPr>
      </w:pPr>
      <w:r>
        <w:rPr>
          <w:b/>
          <w:bCs/>
        </w:rPr>
        <w:t xml:space="preserve">Ocena ważności/skuteczności kluczowych postanowień umowy:</w:t>
      </w:r>
    </w:p>
    <w:p>
      <w:pPr>
        <w:pStyle w:val="Compact"/>
        <w:numPr>
          <w:ilvl w:val="1"/>
          <w:numId w:val="1004"/>
        </w:numPr>
      </w:pPr>
      <w:r>
        <w:rPr>
          <w:b/>
          <w:bCs/>
        </w:rPr>
        <w:t xml:space="preserve">Postanowienie o karze umownej (§11 Umowy):</w:t>
      </w:r>
      <w:r>
        <w:t xml:space="preserve"> </w:t>
      </w:r>
      <w:r>
        <w:t xml:space="preserve">Zgodnie z art. 483 § 1 KC, strony mogą zastrzec w umowie, że naprawienie szkody wynikłej z niewykonania lub nienależytego wykonania zobowiązania niepieniężnego nastąpi przez zapłatę określonej sumy (kara umowna). Zapis o karze umownej w wysokości 0,05% ceny brutto lokalu za każdy dzień zwłoki, z maksymalnym ograniczeniem do 10% ceny brutto, jest co do zasady ważny i skuteczny. Wysokość kary jest typowa dla umów deweloperskich. Sąd może jednak dokonać miarkowania kary umownej na podstawie art. 484 § 2 KC, jeżeli uzna ją za rażąco wygórowaną lub gdy zobowiązanie zostało w znacznej części wykonane. W tym przypadku maksymalna kwota kary umownej, jaką można dochodzić, to 10% ceny brutto lokalu, czyli 52 000,00 zł [Źródło 1].</w:t>
      </w:r>
    </w:p>
    <w:p>
      <w:pPr>
        <w:pStyle w:val="Compact"/>
        <w:numPr>
          <w:ilvl w:val="1"/>
          <w:numId w:val="1004"/>
        </w:numPr>
      </w:pPr>
      <w:r>
        <w:rPr>
          <w:b/>
          <w:bCs/>
        </w:rPr>
        <w:t xml:space="preserve">Uprawnienie Nabywcy do odszkodowania (§10 ust. 1 Umowy):</w:t>
      </w:r>
      <w:r>
        <w:t xml:space="preserve"> </w:t>
      </w:r>
      <w:r>
        <w:t xml:space="preserve">Umowa przewiduje prawo Nabywcy do odszkodowania i odsetek ustawowych za opóźnienie Dewelopera [Źródło 1]. Zgodnie z art. 484 § 1 zd. 2 KC, żądanie odszkodowania przenoszącego wysokość zastrzeżonej kary umownej jest dopuszczalne, jeżeli strony inaczej postanowiły. Brak wyraźnego wykluczenia w umowie deweloperskiej możliwości dochodzenia odszkodowania uzupełniającego wskazuje na to, że Nabywca może dochodzić zarówno kary umownej, jak i odszkodowania przewyższającego jej wysokość, jeśli umowa nie stanowi inaczej.</w:t>
      </w:r>
    </w:p>
    <w:p>
      <w:pPr>
        <w:pStyle w:val="Compact"/>
        <w:numPr>
          <w:ilvl w:val="1"/>
          <w:numId w:val="1004"/>
        </w:numPr>
      </w:pPr>
      <w:r>
        <w:rPr>
          <w:b/>
          <w:bCs/>
        </w:rPr>
        <w:t xml:space="preserve">Prawo Nabywcy do odstąpienia od Umowy (§10 ust. 2 Umowy):</w:t>
      </w:r>
      <w:r>
        <w:t xml:space="preserve"> </w:t>
      </w:r>
      <w:r>
        <w:t xml:space="preserve">Postanowienie to, dające Nabywcy prawo odstąpienia od umowy, jeśli zwłoka Dewelopera przekroczy 180 dni, jest zgodne z prawem i skuteczne [Źródło 1]. Termin ten upłynął 27 grudnia 2024 r. (180 dni od 01.07.2024 r.), co oznacza, że Klient ma już to prawo.</w:t>
      </w:r>
    </w:p>
    <w:p>
      <w:pPr>
        <w:pStyle w:val="Compact"/>
        <w:numPr>
          <w:ilvl w:val="1"/>
          <w:numId w:val="1004"/>
        </w:numPr>
      </w:pPr>
      <w:r>
        <w:rPr>
          <w:b/>
          <w:bCs/>
        </w:rPr>
        <w:t xml:space="preserve">Klauzula siły wyższej (§12 Umowy):</w:t>
      </w:r>
      <w:r>
        <w:t xml:space="preserve"> </w:t>
      </w:r>
      <w:r>
        <w:t xml:space="preserve">Klauzula ta, wymagająca niezwłocznego pisemnego zgłoszenia siły wyższej wraz z dokumentacją potwierdzającą, jest standardowa i skuteczna [Źródło 1]. Ocena jej zastosowania do okoliczności podanych przez Dewelopera zostanie dokonana poniżej.</w:t>
      </w:r>
    </w:p>
    <w:bookmarkEnd w:id="13"/>
    <w:bookmarkStart w:id="14" w:name="X4767c16c7b2a26295af672c3e373e571cf75f38"/>
    <w:p>
      <w:pPr>
        <w:pStyle w:val="Heading3"/>
      </w:pPr>
      <w:r>
        <w:t xml:space="preserve">2. Analiza roszczeń Klienta o odszkodowanie za koszty najmu i inne koszty</w:t>
      </w:r>
    </w:p>
    <w:p>
      <w:pPr>
        <w:pStyle w:val="Compact"/>
        <w:numPr>
          <w:ilvl w:val="0"/>
          <w:numId w:val="1005"/>
        </w:numPr>
      </w:pPr>
      <w:r>
        <w:rPr>
          <w:b/>
          <w:bCs/>
        </w:rPr>
        <w:t xml:space="preserve">Podstawy prawne:</w:t>
      </w:r>
      <w:r>
        <w:t xml:space="preserve"> </w:t>
      </w:r>
      <w:r>
        <w:t xml:space="preserve">Roszczenie o odszkodowanie wynika z art. 471 KC. Szkoda, zgodnie z art. 361 § 1 i 2 KC, obejmuje zarówno straty rzeczywiste (damnum emergens), jak i utracone korzyści (lucrum cessans). Koszty najmu lokalu zastępczego (19 200,00 zł za 6 miesięcy) i przechowania mebli (1 200,00 zł) są normalnym następstwem opóźnienia Dewelopera i stanowią straty rzeczywiste [Źródło 1]. Klient może również dochodzić odszkodowania za koszty przeprowadzki, jeśli je poniósł. Orzecznictwo potwierdza możliwość dochodzenia odszkodowania z art. 471 KC w przypadku nienależytego wykonania umowy [Źródło 1].</w:t>
      </w:r>
    </w:p>
    <w:p>
      <w:pPr>
        <w:pStyle w:val="Compact"/>
        <w:numPr>
          <w:ilvl w:val="0"/>
          <w:numId w:val="1005"/>
        </w:numPr>
      </w:pPr>
      <w:r>
        <w:rPr>
          <w:b/>
          <w:bCs/>
        </w:rPr>
        <w:t xml:space="preserve">Zakres roszczenia:</w:t>
      </w:r>
      <w:r>
        <w:t xml:space="preserve"> </w:t>
      </w:r>
      <w:r>
        <w:t xml:space="preserve">Nabywca może domagać się naprawienia wszystkich faktycznie poniesionych i udokumentowanych kosztów, które pozostają w adekwatnym związku przyczynowym z opóźnieniem Dewelopera, tj. koszty najmu lokalu zastępczego, koszty przechowania mebli i koszty przeprowadzki.</w:t>
      </w:r>
    </w:p>
    <w:p>
      <w:pPr>
        <w:pStyle w:val="Compact"/>
        <w:numPr>
          <w:ilvl w:val="0"/>
          <w:numId w:val="1005"/>
        </w:numPr>
      </w:pPr>
      <w:r>
        <w:rPr>
          <w:b/>
          <w:bCs/>
        </w:rPr>
        <w:t xml:space="preserve">Sposób dowodzenia i dokumentowania:</w:t>
      </w:r>
      <w:r>
        <w:t xml:space="preserve"> </w:t>
      </w:r>
      <w:r>
        <w:t xml:space="preserve">Konieczne jest przedstawienie umowy najmu lokalu zastępczego, dowodów zapłaty czynszu, rachunków za przechowanie mebli oraz ewentualnych faktur/rachunków za usługi przeprowadzkowe. Dowody te powinny być kompletne i obejmować cały okres, za który dochodzone jest odszkodowanie. Zeznania świadków (np. małżonka Klienta, osoby trzecie) mogą dodatkowo wzmocnić dowodzenie faktycznego poniesienia tych kosztów. Zgodnie z orzecznictwem, ciężar dowodu spoczywa na powodzie (art. 6 KC i art. 232 KPC) [Źródło 6, 10].</w:t>
      </w:r>
    </w:p>
    <w:bookmarkEnd w:id="14"/>
    <w:bookmarkStart w:id="15" w:name="Xc6138944b20ac48e4088c3f6c42684c93b415ca"/>
    <w:p>
      <w:pPr>
        <w:pStyle w:val="Heading3"/>
      </w:pPr>
      <w:r>
        <w:t xml:space="preserve">3. Interpretacja i znaczenie klauzuli dotyczącej siły wyższej (§12)</w:t>
      </w:r>
    </w:p>
    <w:p>
      <w:pPr>
        <w:pStyle w:val="Compact"/>
        <w:numPr>
          <w:ilvl w:val="0"/>
          <w:numId w:val="1006"/>
        </w:numPr>
      </w:pPr>
      <w:r>
        <w:rPr>
          <w:b/>
          <w:bCs/>
        </w:rPr>
        <w:t xml:space="preserve">Powołanie się na „siłę wyższą” przez Dewelopera:</w:t>
      </w:r>
      <w:r>
        <w:t xml:space="preserve"> </w:t>
      </w:r>
      <w:r>
        <w:t xml:space="preserve">Deweloper powołuje się na „opóźnienia związane z dostawami materiałów oraz brakiem nadania numeru budynku” [Źródło 1].</w:t>
      </w:r>
    </w:p>
    <w:p>
      <w:pPr>
        <w:pStyle w:val="Compact"/>
        <w:numPr>
          <w:ilvl w:val="1"/>
          <w:numId w:val="1007"/>
        </w:numPr>
      </w:pPr>
      <w:r>
        <w:rPr>
          <w:b/>
          <w:bCs/>
        </w:rPr>
        <w:t xml:space="preserve">Opóźnienia w dostawach materiałów:</w:t>
      </w:r>
      <w:r>
        <w:t xml:space="preserve"> </w:t>
      </w:r>
      <w:r>
        <w:t xml:space="preserve">Co do zasady, problemy z łańcuchem dostaw są ryzykiem biznesowym Dewelopera, a nie siłą wyższą. Siła wyższa wymaga zdarzenia zewnętrznego, niemożliwego do przewidzenia i niemożliwego do zapobieżenia. Zwykłe opóźnienia w dostawach, nawet globalne, zazwyczaj nie spełniają tych kryteriów, ponieważ Deweloper, jako profesjonalista, powinien zabezpieczyć się przed takimi ryzykami (np. poprzez dywersyfikację dostawców, odpowiednie planowanie zapasów). Odpowiedzialność dłużnika obejmuje działania i zaniechania osób, z których pomocą wykonuje zobowiązanie (art. 474 KC).</w:t>
      </w:r>
    </w:p>
    <w:p>
      <w:pPr>
        <w:pStyle w:val="Compact"/>
        <w:numPr>
          <w:ilvl w:val="1"/>
          <w:numId w:val="1007"/>
        </w:numPr>
      </w:pPr>
      <w:r>
        <w:rPr>
          <w:b/>
          <w:bCs/>
        </w:rPr>
        <w:t xml:space="preserve">Brak nadania numeru budynku:</w:t>
      </w:r>
      <w:r>
        <w:t xml:space="preserve"> </w:t>
      </w:r>
      <w:r>
        <w:t xml:space="preserve">Jest to kwestia formalno-administracyjna. Deweloper jest odpowiedzialny za dopełnienie wszystkich formalności wymaganych do realizacji inwestycji. Opóźnienia po stronie organów administracji mogą być uznane za okoliczności niezależne od Dewelopera tylko w wyjątkowych sytuacjach (np. całkowity paraliż urzędu na skutek zdarzeń nadzwyczajnych), ale zazwyczaj nie stanowią siły wyższej i nie zwalniają Dewelopera z odpowiedzialności za zwłokę, chyba że Deweloper wykazał nadzwyczajną staranność w dążeniu do uzyskania dokumentacji, a mimo to napotkał na niezawinione, niemożliwe do pokonania przeszkody.</w:t>
      </w:r>
    </w:p>
    <w:p>
      <w:pPr>
        <w:pStyle w:val="Compact"/>
        <w:numPr>
          <w:ilvl w:val="0"/>
          <w:numId w:val="1006"/>
        </w:numPr>
      </w:pPr>
      <w:r>
        <w:rPr>
          <w:b/>
          <w:bCs/>
        </w:rPr>
        <w:t xml:space="preserve">Wymagana dokumentacja siły wyższej:</w:t>
      </w:r>
      <w:r>
        <w:t xml:space="preserve"> </w:t>
      </w:r>
      <w:r>
        <w:t xml:space="preserve">Klauzula §12 wymaga niezwłocznego pisemnego zgłoszenia wraz z dokumentacją potwierdzającą [Źródło 1]. Zgodnie z zasadą ciężaru dowodu (art. 6 KC i art. 232 KPC), to Deweloper musi udowodnić, że spełnił te przesłanki i że wskazane okoliczności faktycznie stanowią siłę wyższą. Dotychczasowa korespondencja musi zawierać konkretne dowody, a nie jedynie ogólnikowe stwierdzenia.</w:t>
      </w:r>
    </w:p>
    <w:p>
      <w:pPr>
        <w:pStyle w:val="Compact"/>
        <w:numPr>
          <w:ilvl w:val="0"/>
          <w:numId w:val="1006"/>
        </w:numPr>
      </w:pPr>
      <w:r>
        <w:rPr>
          <w:b/>
          <w:bCs/>
        </w:rPr>
        <w:t xml:space="preserve">Ocena wykonalności zarzutu Dewelopera o przyczynieniu się innych podmiotów:</w:t>
      </w:r>
      <w:r>
        <w:t xml:space="preserve"> </w:t>
      </w:r>
      <w:r>
        <w:t xml:space="preserve">Zarzut ten jest trudny do utrzymania, gdyż zgodnie z art. 474 KC, dłużnik jest odpowiedzialny za działania i zaniechania osób, z których pomocą wykonuje zobowiązanie. Opóźnienia podwykonawców lub dostawców obciążają Dewelopera, a nie Nabywcę, chyba że Deweloper udowodni, że działanie lub zaniechanie tych podmiotów stanowiło siłę wyższą w stosunku do Dewelopera.</w:t>
      </w:r>
    </w:p>
    <w:bookmarkEnd w:id="15"/>
    <w:bookmarkStart w:id="16" w:name="terminy-i-przedawnienie-roszczeń"/>
    <w:p>
      <w:pPr>
        <w:pStyle w:val="Heading3"/>
      </w:pPr>
      <w:r>
        <w:t xml:space="preserve">4. Terminy i przedawnienie roszczeń</w:t>
      </w:r>
    </w:p>
    <w:p>
      <w:pPr>
        <w:pStyle w:val="Compact"/>
        <w:numPr>
          <w:ilvl w:val="0"/>
          <w:numId w:val="1008"/>
        </w:numPr>
      </w:pPr>
      <w:r>
        <w:rPr>
          <w:b/>
          <w:bCs/>
        </w:rPr>
        <w:t xml:space="preserve">Termin na naliczanie kar umownych:</w:t>
      </w:r>
      <w:r>
        <w:t xml:space="preserve"> </w:t>
      </w:r>
      <w:r>
        <w:t xml:space="preserve">Kara umowna nalicza się od dnia następującego po upływie pierwotnego terminu przekazania lokalu i zawarcia aktu notarialnego, tj. od 1 lipca 2024 r. [Źródło 1]. Naliczanie trwa do dnia rzeczywistego zawarcia aktu lub odstąpienia od umowy.</w:t>
      </w:r>
    </w:p>
    <w:p>
      <w:pPr>
        <w:pStyle w:val="Compact"/>
        <w:numPr>
          <w:ilvl w:val="0"/>
          <w:numId w:val="1008"/>
        </w:numPr>
      </w:pPr>
      <w:r>
        <w:rPr>
          <w:b/>
          <w:bCs/>
        </w:rPr>
        <w:t xml:space="preserve">Okres 180 dni do prawa odstąpienia:</w:t>
      </w:r>
      <w:r>
        <w:t xml:space="preserve"> </w:t>
      </w:r>
      <w:r>
        <w:t xml:space="preserve">Okres 180 dni zwłoki uprawniający do odstąpienia od umowy (§10 ust. 2 Umowy) liczy się od dnia 1 lipca 2024 r. [Źródło 1]. Termin ten upłynął 27 grudnia 2024 r., co oznacza, że Nabywca już nabył prawo do odstąpienia od umowy.</w:t>
      </w:r>
    </w:p>
    <w:p>
      <w:pPr>
        <w:pStyle w:val="Compact"/>
        <w:numPr>
          <w:ilvl w:val="0"/>
          <w:numId w:val="1008"/>
        </w:numPr>
      </w:pPr>
      <w:r>
        <w:rPr>
          <w:b/>
          <w:bCs/>
        </w:rPr>
        <w:t xml:space="preserve">Terminy przedawnienia roszczeń Klienta (art. 118 KC):</w:t>
      </w:r>
    </w:p>
    <w:p>
      <w:pPr>
        <w:pStyle w:val="Compact"/>
        <w:numPr>
          <w:ilvl w:val="1"/>
          <w:numId w:val="1009"/>
        </w:numPr>
      </w:pPr>
      <w:r>
        <w:rPr>
          <w:b/>
          <w:bCs/>
        </w:rPr>
        <w:t xml:space="preserve">Roszczenia o kary umowne i odszkodowanie:</w:t>
      </w:r>
      <w:r>
        <w:t xml:space="preserve"> </w:t>
      </w:r>
      <w:r>
        <w:t xml:space="preserve">Są to roszczenia związane z nienależytym wykonaniem umowy deweloperskiej. Zgodnie z art. 118 zd. 1 KC, termin przedawnienia wynosi sześć lat (dla roszczeń innych niż roszczenia o świadczenia okresowe i związane z prowadzeniem działalności gospodarczej). Jako że Nabywca jest konsumentem, roszczenia z umowy deweloperskiej nie są związane z prowadzeniem jego działalności gospodarczej. Koniec terminu przedawnienia przypada na ostatni dzień roku kalendarzowego. W przypadku roszczeń o kary umowne za każdy dzień opóźnienia, są to świadczenia okresowe. Zgodnie z art. 118 zd. 2 KC, dla roszczeń o świadenia okresowe termin przedawnienia wynosi trzy lata. W praktyce, roszczenia o kary umowne z umowy deweloperskiej traktowane są jako roszczenia o świadczenie jednorazowe, a nie okresowe, jeśli ich wysokość jest określona na podstawie procentu za każdy dzień, ale całość roszczenia dochodzona jest jednorazowo. Wówczas stosuje się termin sześcioletni (art. 118 KC). Bieg przedawnienia rozpoczyna się od dnia wymagalności roszczenia (art. 120 § 1 KC), czyli od dnia, w którym Deweloper powinien był zapłacić kary umowne i odszkodowanie, co następuje po bezskutecznym upływie terminu na spełnienie świadczenia. Dla poszczególnych dni opóźnienia, roszczenie o karę umowną za dany dzień staje się wymagalne po upływie tego dnia. Jednakże dla celów praktycznych często przyjmuje się, że całość roszczenia o kary umowne staje się wymagalna po zakończeniu opóźnienia lub po wezwaniu do zapłaty. Mając na uwadze, że roszczenie o kary umowne i odszkodowanie jest z perspektywy Klienta roszczeniem powstałym w związku z opóźnieniem dewelopera, należy przyjąć termin sześcioletni (art. 118 KC). Pierwsze roszczenie stało się wymagalne po 30 czerwca 2024 r., czyli od 1 lipca 2024 r. [Źródło 1]. Oznacza to, że termin przedawnienia upłynie z końcem 2030 r.</w:t>
      </w:r>
    </w:p>
    <w:p>
      <w:pPr>
        <w:pStyle w:val="Compact"/>
        <w:numPr>
          <w:ilvl w:val="1"/>
          <w:numId w:val="1009"/>
        </w:numPr>
      </w:pPr>
      <w:r>
        <w:rPr>
          <w:b/>
          <w:bCs/>
        </w:rPr>
        <w:t xml:space="preserve">Roszczenie o zwrot wpłaconych środków (w przypadku odstąpienia):</w:t>
      </w:r>
      <w:r>
        <w:t xml:space="preserve"> </w:t>
      </w:r>
      <w:r>
        <w:t xml:space="preserve">Jeśli Klient odstąpi od umowy, roszczenie o zwrot wpłaconej kwoty (52 000,00 zł) będzie roszczeniem o zwrot świadczenia nienależnego (art. 405 i nast. KC) lub roszczeniem wynikającym z bezskuteczności umowy. Dla konsumentów termin przedawnienia wynosi sześć lat (art. 118 KC). Termin ten rozpoczyna bieg od dnia, w którym oświadczenie o odstąpieniu od umowy stało się skuteczne, a roszczenie o zwrot wpłaconych środków stało się wymagalne.</w:t>
      </w:r>
    </w:p>
    <w:bookmarkEnd w:id="16"/>
    <w:bookmarkStart w:id="17" w:name="kwestie-dowodowe-i-strategia-procesowa"/>
    <w:p>
      <w:pPr>
        <w:pStyle w:val="Heading3"/>
      </w:pPr>
      <w:r>
        <w:t xml:space="preserve">5. Kwestie dowodowe i strategia procesowa</w:t>
      </w:r>
    </w:p>
    <w:p>
      <w:pPr>
        <w:pStyle w:val="Compact"/>
        <w:numPr>
          <w:ilvl w:val="0"/>
          <w:numId w:val="1010"/>
        </w:numPr>
      </w:pPr>
      <w:r>
        <w:rPr>
          <w:b/>
          <w:bCs/>
        </w:rPr>
        <w:t xml:space="preserve">Dowody do zgromadzenia:</w:t>
      </w:r>
    </w:p>
    <w:p>
      <w:pPr>
        <w:pStyle w:val="Compact"/>
        <w:numPr>
          <w:ilvl w:val="1"/>
          <w:numId w:val="1011"/>
        </w:numPr>
      </w:pPr>
      <w:r>
        <w:t xml:space="preserve">Umowa deweloperska nr DEV/████/78 [Źródło 1].</w:t>
      </w:r>
    </w:p>
    <w:p>
      <w:pPr>
        <w:pStyle w:val="Compact"/>
        <w:numPr>
          <w:ilvl w:val="1"/>
          <w:numId w:val="1011"/>
        </w:numPr>
      </w:pPr>
      <w:r>
        <w:t xml:space="preserve">Potwierdzenia wpłat na rzecz Dewelopera (pierwsza transza 52 000,00 zł) [Źródło 1].</w:t>
      </w:r>
    </w:p>
    <w:p>
      <w:pPr>
        <w:pStyle w:val="Compact"/>
        <w:numPr>
          <w:ilvl w:val="1"/>
          <w:numId w:val="1011"/>
        </w:numPr>
      </w:pPr>
      <w:r>
        <w:t xml:space="preserve">Korespondencja e-mailowa i pisemna z Deweloperem (w tym pisma z 20.07.2024 i 15.10.2024 dotyczące siły wyższej oraz wezwanie przedsądowe Klienta) [Źródło 1].</w:t>
      </w:r>
    </w:p>
    <w:p>
      <w:pPr>
        <w:pStyle w:val="Compact"/>
        <w:numPr>
          <w:ilvl w:val="1"/>
          <w:numId w:val="1011"/>
        </w:numPr>
      </w:pPr>
      <w:r>
        <w:t xml:space="preserve">Umowa najmu lokalu zastępczego i dowody zapłaty czynszu za cały okres [Źródło 1].</w:t>
      </w:r>
    </w:p>
    <w:p>
      <w:pPr>
        <w:pStyle w:val="Compact"/>
        <w:numPr>
          <w:ilvl w:val="1"/>
          <w:numId w:val="1011"/>
        </w:numPr>
      </w:pPr>
      <w:r>
        <w:t xml:space="preserve">Rachunki/faktury za przechowanie mebli [Źródło 1].</w:t>
      </w:r>
    </w:p>
    <w:p>
      <w:pPr>
        <w:pStyle w:val="Compact"/>
        <w:numPr>
          <w:ilvl w:val="1"/>
          <w:numId w:val="1011"/>
        </w:numPr>
      </w:pPr>
      <w:r>
        <w:t xml:space="preserve">Rachunki/faktury za koszty przeprowadzki (jeśli dotyczy) [Źródło 1].</w:t>
      </w:r>
    </w:p>
    <w:p>
      <w:pPr>
        <w:pStyle w:val="Compact"/>
        <w:numPr>
          <w:ilvl w:val="1"/>
          <w:numId w:val="1011"/>
        </w:numPr>
      </w:pPr>
      <w:r>
        <w:t xml:space="preserve">Dokumentacja zdjęciowa/filmowa z placu budowy potwierdzająca stan zaawansowania prac po 30 czerwca 2024 r.</w:t>
      </w:r>
    </w:p>
    <w:p>
      <w:pPr>
        <w:pStyle w:val="Compact"/>
        <w:numPr>
          <w:ilvl w:val="1"/>
          <w:numId w:val="1011"/>
        </w:numPr>
      </w:pPr>
      <w:r>
        <w:t xml:space="preserve">Zeznania świadków (np. żony Klienta, która towarzyszyła mu w rozmowach z Deweloperem, świadków stanu budowy) na okoliczność opóźnień i faktycznego poniesienia kosztów.</w:t>
      </w:r>
    </w:p>
    <w:p>
      <w:pPr>
        <w:pStyle w:val="Compact"/>
        <w:numPr>
          <w:ilvl w:val="1"/>
          <w:numId w:val="1011"/>
        </w:numPr>
      </w:pPr>
      <w:r>
        <w:t xml:space="preserve">Wniosek do Dewelopera o przedstawienie pełnej dokumentacji dotyczącej rzekomej</w:t>
      </w:r>
      <w:r>
        <w:t xml:space="preserve"> </w:t>
      </w:r>
      <w:r>
        <w:t xml:space="preserve">“siły wyższej”</w:t>
      </w:r>
      <w:r>
        <w:t xml:space="preserve"> </w:t>
      </w:r>
      <w:r>
        <w:t xml:space="preserve">(np. zamówienia materiałów, korespondencja z dostawcami, harmonogramy, decyzje administracyjne, dokumentacja dotycząca nadania numeru budynku).</w:t>
      </w:r>
    </w:p>
    <w:p>
      <w:pPr>
        <w:pStyle w:val="Compact"/>
        <w:numPr>
          <w:ilvl w:val="0"/>
          <w:numId w:val="1010"/>
        </w:numPr>
      </w:pPr>
      <w:r>
        <w:rPr>
          <w:b/>
          <w:bCs/>
        </w:rPr>
        <w:t xml:space="preserve">Ocena siły dowodowej dokumentów dostarczonych przez Klienta:</w:t>
      </w:r>
    </w:p>
    <w:p>
      <w:pPr>
        <w:pStyle w:val="Compact"/>
        <w:numPr>
          <w:ilvl w:val="1"/>
          <w:numId w:val="1012"/>
        </w:numPr>
      </w:pPr>
      <w:r>
        <w:t xml:space="preserve">Umowa deweloperska: kluczowy dowód na istnienie zobowiązania, terminów, kar umownych i prawa do odstąpienia. Wysoka siła dowodowa.</w:t>
      </w:r>
    </w:p>
    <w:p>
      <w:pPr>
        <w:pStyle w:val="Compact"/>
        <w:numPr>
          <w:ilvl w:val="1"/>
          <w:numId w:val="1012"/>
        </w:numPr>
      </w:pPr>
      <w:r>
        <w:t xml:space="preserve">E-maile i wezwanie przedsądowe: dowody na komunikację z Deweloperem, próby polubownego rozwiązania sporu, treść żądań i powoływanie się na siłę wyższą przez Dewelopera. Uzasadniona siła dowodowa.</w:t>
      </w:r>
    </w:p>
    <w:p>
      <w:pPr>
        <w:pStyle w:val="Compact"/>
        <w:numPr>
          <w:ilvl w:val="1"/>
          <w:numId w:val="1012"/>
        </w:numPr>
      </w:pPr>
      <w:r>
        <w:t xml:space="preserve">Umowa najmu i rachunki: podstawowe dowody na wysokość i fakt poniesienia szkody. Wysoka siła dowodowa, pod warunkiem kompletności i czytelności.</w:t>
      </w:r>
    </w:p>
    <w:p>
      <w:pPr>
        <w:pStyle w:val="Compact"/>
        <w:numPr>
          <w:ilvl w:val="0"/>
          <w:numId w:val="1010"/>
        </w:numPr>
      </w:pPr>
      <w:r>
        <w:rPr>
          <w:b/>
          <w:bCs/>
        </w:rPr>
        <w:t xml:space="preserve">Konieczność opinii biegłego:</w:t>
      </w:r>
    </w:p>
    <w:p>
      <w:pPr>
        <w:pStyle w:val="Compact"/>
        <w:numPr>
          <w:ilvl w:val="1"/>
          <w:numId w:val="1013"/>
        </w:numPr>
      </w:pPr>
      <w:r>
        <w:rPr>
          <w:b/>
          <w:bCs/>
        </w:rPr>
        <w:t xml:space="preserve">Biegły budowlany:</w:t>
      </w:r>
      <w:r>
        <w:t xml:space="preserve"> </w:t>
      </w:r>
      <w:r>
        <w:t xml:space="preserve">Tak, jest wysoce wskazane zlecenie opinii biegłego sądowego z zakresu budownictwa. Biegły mógłby ocenić rzeczywisty stopień zaawansowania prac w poszczególnych terminach, ocenić realność i wpływ wskazanych przez Dewelopera przyczyn opóźnienia oraz ich kwalifikację jako siły wyższej. Opinia biegłego jest kluczowa dla obalenia argumentów Dewelopera o siłę wyższą i przyczynieniu się innych podmiotów. Może również potwierdzić, że opóźnienia wynikają z zaniedbań Dewelopera (np. złe zarządzanie projektem, brak zabezpieczenia materiałów).</w:t>
      </w:r>
    </w:p>
    <w:p>
      <w:pPr>
        <w:pStyle w:val="Compact"/>
        <w:numPr>
          <w:ilvl w:val="1"/>
          <w:numId w:val="1013"/>
        </w:numPr>
      </w:pPr>
      <w:r>
        <w:rPr>
          <w:b/>
          <w:bCs/>
        </w:rPr>
        <w:t xml:space="preserve">Wezwanie dokumentacji od organów administracji:</w:t>
      </w:r>
      <w:r>
        <w:t xml:space="preserve"> </w:t>
      </w:r>
      <w:r>
        <w:t xml:space="preserve">Tak, należy wystąpić do odpowiednich organów administracji (np. Starostwo Powiatowe, Nadzór Budowlany, Urząd Gminy/Miasta) o udostępnienie dokumentacji dotyczącej inwestycji, w szczególności pozwoleń na budowę, protokołów odbioru, decyzji o nadaniu numeru budynku, kontroli Nadzoru Budowlanego, dziennika budowy. Może to być kluczowe dla obalenia argumentów Dewelopera o braku nadania numeru budynku jako przyczynie opóźnień.</w:t>
      </w:r>
    </w:p>
    <w:p>
      <w:pPr>
        <w:pStyle w:val="Compact"/>
        <w:numPr>
          <w:ilvl w:val="0"/>
          <w:numId w:val="1010"/>
        </w:numPr>
      </w:pPr>
      <w:r>
        <w:rPr>
          <w:b/>
          <w:bCs/>
        </w:rPr>
        <w:t xml:space="preserve">Alternatywne drogi postępowania:</w:t>
      </w:r>
    </w:p>
    <w:p>
      <w:pPr>
        <w:pStyle w:val="Compact"/>
        <w:numPr>
          <w:ilvl w:val="1"/>
          <w:numId w:val="1014"/>
        </w:numPr>
      </w:pPr>
      <w:r>
        <w:rPr>
          <w:b/>
          <w:bCs/>
        </w:rPr>
        <w:t xml:space="preserve">Postępowanie przed UOKiK:</w:t>
      </w:r>
      <w:r>
        <w:t xml:space="preserve"> </w:t>
      </w:r>
      <w:r>
        <w:t xml:space="preserve">Konsument może złożyć skargę do Urzędu Ochrony Konkurencji i Konsumentów (UOKiK) na praktyki Dewelopera, zwłaszcza jeśli dotyczą one naruszenia zbiorowych interesów konsumentów (np. stosowanie niedozwolonych postanowień umownych, wprowadzanie w błąd). UOKiK może nakazać zaniechanie praktyk naruszających prawa konsumentów i nałożyć kary finansowe. Nie rozwiąże to jednak indywidualnego roszczenia Klienta.</w:t>
      </w:r>
    </w:p>
    <w:p>
      <w:pPr>
        <w:pStyle w:val="Compact"/>
        <w:numPr>
          <w:ilvl w:val="1"/>
          <w:numId w:val="1014"/>
        </w:numPr>
      </w:pPr>
      <w:r>
        <w:rPr>
          <w:b/>
          <w:bCs/>
        </w:rPr>
        <w:t xml:space="preserve">Mediacja/postępowanie pojednawcze:</w:t>
      </w:r>
      <w:r>
        <w:t xml:space="preserve"> </w:t>
      </w:r>
      <w:r>
        <w:t xml:space="preserve">Przed skierowaniem sprawy do sądu warto podjąć próbę mediacji z Deweloperem. Mediator (neutralna osoba trzecia) może pomóc stronom w osiągnięciu porozumienia. Jest to zazwyczaj szybsza i mniej kosztowna alternatywa dla procesu sądowego. W pozwie należy złożyć informację, czy podjęto próbę mediacji lub innego pozasądowego rozwiązania sporu (art. 187 § 1 pkt 3 KPC).</w:t>
      </w:r>
    </w:p>
    <w:bookmarkEnd w:id="17"/>
    <w:bookmarkStart w:id="18" w:name="X77e1cfc2d84f06e34adc7abf369341900fb9c7d"/>
    <w:p>
      <w:pPr>
        <w:pStyle w:val="Heading3"/>
      </w:pPr>
      <w:r>
        <w:t xml:space="preserve">6. Wyliczenie i weryfikacja kwotowa roszczenia Klienta na dzień 10.08.2025</w:t>
      </w:r>
    </w:p>
    <w:p>
      <w:pPr>
        <w:pStyle w:val="FirstParagraph"/>
      </w:pPr>
      <w:r>
        <w:rPr>
          <w:b/>
          <w:bCs/>
        </w:rPr>
        <w:t xml:space="preserve">Dane do obliczeń:</w:t>
      </w:r>
      <w:r>
        <w:t xml:space="preserve"> </w:t>
      </w:r>
      <w:r>
        <w:t xml:space="preserve">* Cena brutto lokalu: 520 000,00 zł [Źródło 1].</w:t>
      </w:r>
      <w:r>
        <w:t xml:space="preserve"> </w:t>
      </w:r>
      <w:r>
        <w:t xml:space="preserve">* Kara umowna dzienna: 0,05% ceny brutto = 0,0005 * 520 000,00 zł = 260,00 zł [Źródło 1].</w:t>
      </w:r>
      <w:r>
        <w:t xml:space="preserve"> </w:t>
      </w:r>
      <w:r>
        <w:t xml:space="preserve">* Maksymalna kara umowna: 10% ceny brutto = 0,10 * 520 000,00 zł = 52 000,00 zł [Źródło 1].</w:t>
      </w:r>
      <w:r>
        <w:t xml:space="preserve"> </w:t>
      </w:r>
      <w:r>
        <w:t xml:space="preserve">* Termin przekazania/aktu: 30 czerwca 2024 r. [Źródło 1].</w:t>
      </w:r>
      <w:r>
        <w:t xml:space="preserve"> </w:t>
      </w:r>
      <w:r>
        <w:t xml:space="preserve">* Data obliczeń: 10 sierpnia 2025 r. [Źródło 1].</w:t>
      </w:r>
      <w:r>
        <w:t xml:space="preserve"> </w:t>
      </w:r>
      <w:r>
        <w:t xml:space="preserve">* Koszty najmu: 19 200,00 zł (za 6 miesięcy) [Źródło 1].</w:t>
      </w:r>
      <w:r>
        <w:t xml:space="preserve"> </w:t>
      </w:r>
      <w:r>
        <w:t xml:space="preserve">* Koszty przechowania mebli: 1 200,00 zł [Źródło 1].</w:t>
      </w:r>
    </w:p>
    <w:p>
      <w:pPr>
        <w:pStyle w:val="BodyText"/>
      </w:pPr>
      <w:r>
        <w:rPr>
          <w:b/>
          <w:bCs/>
        </w:rPr>
        <w:t xml:space="preserve">Okres opóźnienia:</w:t>
      </w:r>
      <w:r>
        <w:t xml:space="preserve"> </w:t>
      </w:r>
      <w:r>
        <w:t xml:space="preserve">* Od 1 lipca 2024 r. do 10 sierpnia 2025 r.</w:t>
      </w:r>
      <w:r>
        <w:t xml:space="preserve"> </w:t>
      </w:r>
      <w:r>
        <w:t xml:space="preserve">* Liczba dni opóźnienia:</w:t>
      </w:r>
      <w:r>
        <w:t xml:space="preserve"> </w:t>
      </w:r>
      <w:r>
        <w:t xml:space="preserve">* Lipiec 2024: 31 dni</w:t>
      </w:r>
      <w:r>
        <w:t xml:space="preserve"> </w:t>
      </w:r>
      <w:r>
        <w:t xml:space="preserve">* Sierpień 2024: 31 dni</w:t>
      </w:r>
      <w:r>
        <w:t xml:space="preserve"> </w:t>
      </w:r>
      <w:r>
        <w:t xml:space="preserve">* Wrzesień 2024: 30 dni</w:t>
      </w:r>
      <w:r>
        <w:t xml:space="preserve"> </w:t>
      </w:r>
      <w:r>
        <w:t xml:space="preserve">* Październik 2024: 31 dni</w:t>
      </w:r>
      <w:r>
        <w:t xml:space="preserve"> </w:t>
      </w:r>
      <w:r>
        <w:t xml:space="preserve">* Listopad 2024: 30 dni</w:t>
      </w:r>
      <w:r>
        <w:t xml:space="preserve"> </w:t>
      </w:r>
      <w:r>
        <w:t xml:space="preserve">* Grudzień 2024: 31 dni</w:t>
      </w:r>
      <w:r>
        <w:t xml:space="preserve"> </w:t>
      </w:r>
      <w:r>
        <w:t xml:space="preserve">* Styczeń 2025: 31 dni</w:t>
      </w:r>
      <w:r>
        <w:t xml:space="preserve"> </w:t>
      </w:r>
      <w:r>
        <w:t xml:space="preserve">* Luty 2025: 28 dni (rok 2025 nie jest przestępny)</w:t>
      </w:r>
      <w:r>
        <w:t xml:space="preserve"> </w:t>
      </w:r>
      <w:r>
        <w:t xml:space="preserve">* Marzec 2025: 31 dni</w:t>
      </w:r>
      <w:r>
        <w:t xml:space="preserve"> </w:t>
      </w:r>
      <w:r>
        <w:t xml:space="preserve">* Kwiecień 2025: 30 dni</w:t>
      </w:r>
      <w:r>
        <w:t xml:space="preserve"> </w:t>
      </w:r>
      <w:r>
        <w:t xml:space="preserve">* Maj 2025: 31 dni</w:t>
      </w:r>
      <w:r>
        <w:t xml:space="preserve"> </w:t>
      </w:r>
      <w:r>
        <w:t xml:space="preserve">* Czerwiec 2025: 30 dni</w:t>
      </w:r>
      <w:r>
        <w:t xml:space="preserve"> </w:t>
      </w:r>
      <w:r>
        <w:t xml:space="preserve">* Lipiec 2025: 31 dni</w:t>
      </w:r>
      <w:r>
        <w:t xml:space="preserve"> </w:t>
      </w:r>
      <w:r>
        <w:t xml:space="preserve">* Sierpień 2025: 10 dni (do 10.08.2025)</w:t>
      </w:r>
      <w:r>
        <w:t xml:space="preserve"> </w:t>
      </w:r>
      <w:r>
        <w:t xml:space="preserve">*</w:t>
      </w:r>
      <w:r>
        <w:t xml:space="preserve"> </w:t>
      </w:r>
      <w:r>
        <w:rPr>
          <w:b/>
          <w:bCs/>
        </w:rPr>
        <w:t xml:space="preserve">Łącznie dni opóźnienia:</w:t>
      </w:r>
      <w:r>
        <w:t xml:space="preserve"> </w:t>
      </w:r>
      <w:r>
        <w:t xml:space="preserve">31 + 31 + 30 + 31 + 30 + 31 + 31 + 28 + 31 + 30 + 31 + 30 + 31 + 10 =</w:t>
      </w:r>
      <w:r>
        <w:t xml:space="preserve"> </w:t>
      </w:r>
      <w:r>
        <w:rPr>
          <w:b/>
          <w:bCs/>
        </w:rPr>
        <w:t xml:space="preserve">406 dni</w:t>
      </w:r>
      <w:r>
        <w:t xml:space="preserve">.</w:t>
      </w:r>
    </w:p>
    <w:p>
      <w:pPr>
        <w:pStyle w:val="BodyText"/>
      </w:pPr>
      <w:r>
        <w:rPr>
          <w:b/>
          <w:bCs/>
        </w:rPr>
        <w:t xml:space="preserve">Naliczenie kar umownych:</w:t>
      </w:r>
      <w:r>
        <w:t xml:space="preserve"> </w:t>
      </w:r>
      <w:r>
        <w:t xml:space="preserve">* Kara umowna za 406 dni = 406 dni * 260,00 zł/dzień = 105 560,00 zł.</w:t>
      </w:r>
      <w:r>
        <w:t xml:space="preserve"> </w:t>
      </w:r>
      <w:r>
        <w:t xml:space="preserve">* Ryzyko: Maksymalna kara umowna to 10% ceny brutto, czyli 52 000,00 zł [Źródło 1]. Zatem roszczenie z tytułu kary umownej należy ograniczyć do tej kwoty.</w:t>
      </w:r>
      <w:r>
        <w:t xml:space="preserve"> </w:t>
      </w:r>
      <w:r>
        <w:t xml:space="preserve">*</w:t>
      </w:r>
      <w:r>
        <w:t xml:space="preserve"> </w:t>
      </w:r>
      <w:r>
        <w:rPr>
          <w:b/>
          <w:bCs/>
        </w:rPr>
        <w:t xml:space="preserve">Należna kara umowna:</w:t>
      </w:r>
      <w:r>
        <w:t xml:space="preserve"> </w:t>
      </w:r>
      <w:r>
        <w:t xml:space="preserve">52 000,00 zł.</w:t>
      </w:r>
    </w:p>
    <w:p>
      <w:pPr>
        <w:pStyle w:val="BodyText"/>
      </w:pPr>
      <w:r>
        <w:rPr>
          <w:b/>
          <w:bCs/>
        </w:rPr>
        <w:t xml:space="preserve">Naliczenie odszkodowania za najem i koszty dodatkowe:</w:t>
      </w:r>
      <w:r>
        <w:t xml:space="preserve"> </w:t>
      </w:r>
      <w:r>
        <w:t xml:space="preserve">* Koszty najmu za 6 miesięcy (do momentu wezwania) = 19 200,00 zł [Źródło 1]. Przyjmując dalsze koszty najmu od stycznia 2025 do sierpnia 2025 (8 miesięcy), i zakładając stałą stawkę 3200 zł/miesiąc (19200/6), to dodatkowo 8 * 3200 zł = 25 600,00 zł.</w:t>
      </w:r>
      <w:r>
        <w:t xml:space="preserve"> </w:t>
      </w:r>
      <w:r>
        <w:rPr>
          <w:b/>
          <w:bCs/>
        </w:rPr>
        <w:t xml:space="preserve">Łączne koszty najmu: 19 200,00 zł + 25 600,00 zł = 44 800,00 zł.</w:t>
      </w:r>
      <w:r>
        <w:t xml:space="preserve"> </w:t>
      </w:r>
      <w:r>
        <w:t xml:space="preserve">* Koszty przechowania mebli = 1 200,00 zł [Źródło 1]. Należy zweryfikować, czy te koszty są jednorazowe, czy powtarzalne i czy pokrywają cały okres opóźnienia. Jeśli 1200 zł było za 6 miesięcy, to za kolejne 8 miesięcy: 8 * (1200/6) = 8 * 200 zł = 1 600,00 zł.</w:t>
      </w:r>
      <w:r>
        <w:t xml:space="preserve"> </w:t>
      </w:r>
      <w:r>
        <w:rPr>
          <w:b/>
          <w:bCs/>
        </w:rPr>
        <w:t xml:space="preserve">Łączne koszty przechowania mebli: 1 200,00 zł + 1 600,00 zł = 2 800,00 zł.</w:t>
      </w:r>
      <w:r>
        <w:t xml:space="preserve"> </w:t>
      </w:r>
      <w:r>
        <w:t xml:space="preserve">* Koszty przeprowadzki: brak danych w kazusie. Należy je udokumentować, jeśli Klient poniósł takie koszty.</w:t>
      </w:r>
    </w:p>
    <w:p>
      <w:pPr>
        <w:pStyle w:val="BodyText"/>
      </w:pPr>
      <w:r>
        <w:rPr>
          <w:b/>
          <w:bCs/>
        </w:rPr>
        <w:t xml:space="preserve">Odsetki ustawowe za opóźnienie:</w:t>
      </w:r>
      <w:r>
        <w:t xml:space="preserve"> </w:t>
      </w:r>
      <w:r>
        <w:t xml:space="preserve">* Zgodnie z §10 ust. 1 Umowy, Nabywca ma prawo do odsetek ustawowych za opóźnienie [Źródło 1].</w:t>
      </w:r>
      <w:r>
        <w:t xml:space="preserve"> </w:t>
      </w:r>
      <w:r>
        <w:t xml:space="preserve">* Odsetki należy naliczać od kwot wymagalnych (kary umowne, odszkodowanie) od daty wezwania Dewelopera do zapłaty (po bezskutecznym upływie terminu wskazanego w wezwaniu).</w:t>
      </w:r>
      <w:r>
        <w:t xml:space="preserve"> </w:t>
      </w:r>
      <w:r>
        <w:t xml:space="preserve">* W przypadku kar umownych (maks. 52 000,00 zł), wezwanie było wystosowane za okres do 30.09.2024, a kwota 23 920,00 zł została wezwana do zapłaty. Następnie należy naliczyć odsetki od tej kwoty od daty wymagalności wskazanej w wezwaniu. Dalsze odsetki od pozostałej części kar umownych i odszkodowania będą naliczane od daty wezwania do zapłaty lub, w przypadku pozwu, od daty doręczenia pozwu.</w:t>
      </w:r>
    </w:p>
    <w:p>
      <w:pPr>
        <w:pStyle w:val="BodyText"/>
      </w:pPr>
      <w:r>
        <w:rPr>
          <w:b/>
          <w:bCs/>
        </w:rPr>
        <w:t xml:space="preserve">Łączne roszczenia na 10.08.2025 (szacunkowo):</w:t>
      </w:r>
      <w:r>
        <w:t xml:space="preserve"> </w:t>
      </w:r>
      <w:r>
        <w:t xml:space="preserve">* Kary umowne (maksymalna wartość): 52 000,00 zł</w:t>
      </w:r>
      <w:r>
        <w:t xml:space="preserve"> </w:t>
      </w:r>
      <w:r>
        <w:t xml:space="preserve">* Odszkodowanie (najem): 44 800,00 zł</w:t>
      </w:r>
      <w:r>
        <w:t xml:space="preserve"> </w:t>
      </w:r>
      <w:r>
        <w:t xml:space="preserve">* Odszkodowanie (przechowanie): 2 800,00 zł</w:t>
      </w:r>
      <w:r>
        <w:t xml:space="preserve"> </w:t>
      </w:r>
      <w:r>
        <w:t xml:space="preserve">*</w:t>
      </w:r>
      <w:r>
        <w:t xml:space="preserve"> </w:t>
      </w:r>
      <w:r>
        <w:rPr>
          <w:b/>
          <w:bCs/>
        </w:rPr>
        <w:t xml:space="preserve">Suma roszczeń kapitałowych:</w:t>
      </w:r>
      <w:r>
        <w:t xml:space="preserve"> </w:t>
      </w:r>
      <w:r>
        <w:t xml:space="preserve">52 000,00 zł + 44 800,00 zł + 2 800,00 zł =</w:t>
      </w:r>
      <w:r>
        <w:t xml:space="preserve"> </w:t>
      </w:r>
      <w:r>
        <w:rPr>
          <w:b/>
          <w:bCs/>
        </w:rPr>
        <w:t xml:space="preserve">99 600,00 zł.</w:t>
      </w:r>
      <w:r>
        <w:t xml:space="preserve"> </w:t>
      </w:r>
      <w:r>
        <w:t xml:space="preserve">* Do tego należy doliczyć odsetki ustawowe za opóźnienie od poszczególnych kwot od dat ich wymagalności.</w:t>
      </w:r>
    </w:p>
    <w:p>
      <w:pPr>
        <w:pStyle w:val="BodyText"/>
      </w:pPr>
      <w:r>
        <w:rPr>
          <w:b/>
          <w:bCs/>
        </w:rPr>
        <w:t xml:space="preserve">Ryzyka obniżenia kwoty przez sąd:</w:t>
      </w:r>
      <w:r>
        <w:t xml:space="preserve"> </w:t>
      </w:r>
      <w:r>
        <w:t xml:space="preserve">*</w:t>
      </w:r>
      <w:r>
        <w:t xml:space="preserve"> </w:t>
      </w:r>
      <w:r>
        <w:rPr>
          <w:b/>
          <w:bCs/>
        </w:rPr>
        <w:t xml:space="preserve">Miarkowanie kary umownej (art. 484 § 2 KC):</w:t>
      </w:r>
      <w:r>
        <w:t xml:space="preserve"> </w:t>
      </w:r>
      <w:r>
        <w:t xml:space="preserve">Sąd może obniżyć karę umowną, jeśli uzna ją za rażąco wygórowaną lub jeśli zobowiązanie zostało w znacznej części wykonane. W tym przypadku, biorąc pod uwagę długi okres opóźnienia, miarkowanie do zera jest mało prawdopodobne, ale sąd może uznać, że maksymalna kwota 52 000 zł jest wystarczająca i nie będzie doliczać dalszych odszkodowań, jeśli uzna, że kara umowna pokrywa całą szkodę. Jednakże, zgodnie z orzecznictwem i umową, Nabywca może dochodzić odszkodowania uzupełniającego.</w:t>
      </w:r>
      <w:r>
        <w:t xml:space="preserve"> </w:t>
      </w:r>
      <w:r>
        <w:t xml:space="preserve">*</w:t>
      </w:r>
      <w:r>
        <w:t xml:space="preserve"> </w:t>
      </w:r>
      <w:r>
        <w:rPr>
          <w:b/>
          <w:bCs/>
        </w:rPr>
        <w:t xml:space="preserve">Uznanie</w:t>
      </w:r>
      <w:r>
        <w:rPr>
          <w:b/>
          <w:bCs/>
        </w:rPr>
        <w:t xml:space="preserve"> </w:t>
      </w:r>
      <w:r>
        <w:rPr>
          <w:b/>
          <w:bCs/>
        </w:rPr>
        <w:t xml:space="preserve">“siły wyższej”</w:t>
      </w:r>
      <w:r>
        <w:rPr>
          <w:b/>
          <w:bCs/>
        </w:rPr>
        <w:t xml:space="preserve">:</w:t>
      </w:r>
      <w:r>
        <w:t xml:space="preserve"> </w:t>
      </w:r>
      <w:r>
        <w:t xml:space="preserve">Jeśli Deweloper skutecznie udowodni, że opóźnienia były spowodowane prawdziwą siłą wyższą (co w świetle przedstawionych argumentów jest mało prawdopodobne), może to zwolnić go z odpowiedzialności za część lub całość opóźnienia.</w:t>
      </w:r>
      <w:r>
        <w:t xml:space="preserve"> </w:t>
      </w:r>
      <w:r>
        <w:t xml:space="preserve">*</w:t>
      </w:r>
      <w:r>
        <w:t xml:space="preserve"> </w:t>
      </w:r>
      <w:r>
        <w:rPr>
          <w:b/>
          <w:bCs/>
        </w:rPr>
        <w:t xml:space="preserve">Brak pełnego udokumentowania kosztów:</w:t>
      </w:r>
      <w:r>
        <w:t xml:space="preserve"> </w:t>
      </w:r>
      <w:r>
        <w:t xml:space="preserve">Nabywca musi precyzyjnie udokumentować wszystkie koszty najmu i przechowania. W przypadku braku dowodów sąd może oddalić roszczenie w tej części [Źródło 6, 13, 15, 17].</w:t>
      </w:r>
    </w:p>
    <w:bookmarkEnd w:id="18"/>
    <w:bookmarkEnd w:id="19"/>
    <w:bookmarkStart w:id="20" w:name="rejestr-ryzyk-i-szans"/>
    <w:p>
      <w:pPr>
        <w:pStyle w:val="Heading2"/>
      </w:pPr>
      <w:r>
        <w:t xml:space="preserve">Rejestr ryzyk i szans</w:t>
      </w:r>
    </w:p>
    <w:p>
      <w:pPr>
        <w:pStyle w:val="FirstParagraph"/>
      </w:pPr>
      <w:r>
        <w:rPr>
          <w:b/>
          <w:bCs/>
        </w:rPr>
        <w:t xml:space="preserve">Mocne strony sprawy (Szanse):</w:t>
      </w:r>
      <w:r>
        <w:t xml:space="preserve"> </w:t>
      </w:r>
      <w:r>
        <w:t xml:space="preserve">1.</w:t>
      </w:r>
      <w:r>
        <w:t xml:space="preserve"> </w:t>
      </w:r>
      <w:r>
        <w:rPr>
          <w:b/>
          <w:bCs/>
        </w:rPr>
        <w:t xml:space="preserve">Jasne postanowienia umowne:</w:t>
      </w:r>
      <w:r>
        <w:t xml:space="preserve"> </w:t>
      </w:r>
      <w:r>
        <w:t xml:space="preserve">Umowa deweloperska precyzyjnie określa termin wykonania zobowiązania (30 czerwca 2024 r.) oraz przewiduje kary umowne i prawo do odszkodowania za opóźnienie [Źródło 1].</w:t>
      </w:r>
      <w:r>
        <w:t xml:space="preserve"> </w:t>
      </w:r>
      <w:r>
        <w:t xml:space="preserve">2.</w:t>
      </w:r>
      <w:r>
        <w:t xml:space="preserve"> </w:t>
      </w:r>
      <w:r>
        <w:rPr>
          <w:b/>
          <w:bCs/>
        </w:rPr>
        <w:t xml:space="preserve">Długotrwała zwłoka Dewelopera:</w:t>
      </w:r>
      <w:r>
        <w:t xml:space="preserve"> </w:t>
      </w:r>
      <w:r>
        <w:t xml:space="preserve">Opóźnienie jest znaczne (ponad rok), co zwiększa zasadność roszczeń Klienta i osłabia argumentację Dewelopera [Źródło 1].</w:t>
      </w:r>
      <w:r>
        <w:t xml:space="preserve"> </w:t>
      </w:r>
      <w:r>
        <w:t xml:space="preserve">3.</w:t>
      </w:r>
      <w:r>
        <w:t xml:space="preserve"> </w:t>
      </w:r>
      <w:r>
        <w:rPr>
          <w:b/>
          <w:bCs/>
        </w:rPr>
        <w:t xml:space="preserve">Prawo do odstąpienia od umowy:</w:t>
      </w:r>
      <w:r>
        <w:t xml:space="preserve"> </w:t>
      </w:r>
      <w:r>
        <w:t xml:space="preserve">Upłynął już 180-dniowy okres zwłoki, dający Klientowi prawo do odstąpienia od umowy, co stanowi silny argument negocjacyjny lub podstawę do alternatywnego żądania [Źródło 1].</w:t>
      </w:r>
      <w:r>
        <w:t xml:space="preserve"> </w:t>
      </w:r>
      <w:r>
        <w:t xml:space="preserve">4.</w:t>
      </w:r>
      <w:r>
        <w:t xml:space="preserve"> </w:t>
      </w:r>
      <w:r>
        <w:rPr>
          <w:b/>
          <w:bCs/>
        </w:rPr>
        <w:t xml:space="preserve">Udokumentowane koszty:</w:t>
      </w:r>
      <w:r>
        <w:t xml:space="preserve"> </w:t>
      </w:r>
      <w:r>
        <w:t xml:space="preserve">Klient dysponuje rachunkami za najem i przechowanie mebli, co stanowi podstawę do dochodzenia odszkodowania [Źródło 1].</w:t>
      </w:r>
      <w:r>
        <w:t xml:space="preserve"> </w:t>
      </w:r>
      <w:r>
        <w:t xml:space="preserve">5.</w:t>
      </w:r>
      <w:r>
        <w:t xml:space="preserve"> </w:t>
      </w:r>
      <w:r>
        <w:rPr>
          <w:b/>
          <w:bCs/>
        </w:rPr>
        <w:t xml:space="preserve">Słabe argumenty Dewelopera:</w:t>
      </w:r>
      <w:r>
        <w:t xml:space="preserve"> </w:t>
      </w:r>
      <w:r>
        <w:t xml:space="preserve">Powoływanie się na</w:t>
      </w:r>
      <w:r>
        <w:t xml:space="preserve"> </w:t>
      </w:r>
      <w:r>
        <w:t xml:space="preserve">“opóźnienia w dostawach materiałów”</w:t>
      </w:r>
      <w:r>
        <w:t xml:space="preserve"> </w:t>
      </w:r>
      <w:r>
        <w:t xml:space="preserve">i</w:t>
      </w:r>
      <w:r>
        <w:t xml:space="preserve"> </w:t>
      </w:r>
      <w:r>
        <w:t xml:space="preserve">“brak nadania numeru budynku”</w:t>
      </w:r>
      <w:r>
        <w:t xml:space="preserve"> </w:t>
      </w:r>
      <w:r>
        <w:t xml:space="preserve">jako siłę wyższą jest w świetle prawa cywilnego zazwyczaj nieskuteczne. Ryzyka te leżą po stronie Dewelopera.</w:t>
      </w:r>
    </w:p>
    <w:p>
      <w:pPr>
        <w:pStyle w:val="BodyText"/>
      </w:pPr>
      <w:r>
        <w:rPr>
          <w:b/>
          <w:bCs/>
        </w:rPr>
        <w:t xml:space="preserve">Słabe strony sprawy (Ryzyka):</w:t>
      </w:r>
      <w:r>
        <w:t xml:space="preserve"> </w:t>
      </w:r>
      <w:r>
        <w:t xml:space="preserve">1.</w:t>
      </w:r>
      <w:r>
        <w:t xml:space="preserve"> </w:t>
      </w:r>
      <w:r>
        <w:rPr>
          <w:b/>
          <w:bCs/>
        </w:rPr>
        <w:t xml:space="preserve">Miarkowanie kary umownej:</w:t>
      </w:r>
      <w:r>
        <w:t xml:space="preserve"> </w:t>
      </w:r>
      <w:r>
        <w:t xml:space="preserve">Sąd może obniżyć wysokość kary umownej, uznając ją za rażąco wygórowaną (art. 484 § 2 KC), choć w tym przypadku ze względu na długość opóźnienia i brak wykonania zobowiązania, ryzyko jest umiarkowane.</w:t>
      </w:r>
      <w:r>
        <w:t xml:space="preserve"> </w:t>
      </w:r>
      <w:r>
        <w:t xml:space="preserve">2.</w:t>
      </w:r>
      <w:r>
        <w:t xml:space="preserve"> </w:t>
      </w:r>
      <w:r>
        <w:rPr>
          <w:b/>
          <w:bCs/>
        </w:rPr>
        <w:t xml:space="preserve">Uzasadnienie siły wyższej przez Dewelopera:</w:t>
      </w:r>
      <w:r>
        <w:t xml:space="preserve"> </w:t>
      </w:r>
      <w:r>
        <w:t xml:space="preserve">Należy być przygotowanym na obronę przed ewentualnym, bardziej szczegółowym uzasadnieniem siły wyższej przez Dewelopera, które mogłoby znaleźć uznanie sądu. Konieczne jest dogłębne zweryfikowanie dokumentacji Dewelopera.</w:t>
      </w:r>
      <w:r>
        <w:t xml:space="preserve"> </w:t>
      </w:r>
      <w:r>
        <w:t xml:space="preserve">3.</w:t>
      </w:r>
      <w:r>
        <w:t xml:space="preserve"> </w:t>
      </w:r>
      <w:r>
        <w:rPr>
          <w:b/>
          <w:bCs/>
        </w:rPr>
        <w:t xml:space="preserve">Kwestie dowodowe:</w:t>
      </w:r>
      <w:r>
        <w:t xml:space="preserve"> </w:t>
      </w:r>
      <w:r>
        <w:t xml:space="preserve">Choć Klient posiada część dokumentacji, należy upewnić się, że wszystkie poniesione koszty są w pełni udokumentowane, aby uniknąć oddalenia części roszczeń.</w:t>
      </w:r>
      <w:r>
        <w:t xml:space="preserve"> </w:t>
      </w:r>
      <w:r>
        <w:t xml:space="preserve">4.</w:t>
      </w:r>
      <w:r>
        <w:t xml:space="preserve"> </w:t>
      </w:r>
      <w:r>
        <w:rPr>
          <w:b/>
          <w:bCs/>
        </w:rPr>
        <w:t xml:space="preserve">Brak dalszych płatności:</w:t>
      </w:r>
      <w:r>
        <w:t xml:space="preserve"> </w:t>
      </w:r>
      <w:r>
        <w:t xml:space="preserve">Klient wstrzymał dalsze płatności po pierwszej transzy [Źródło 1]. Może to zostać przez Dewelopera wykorzystane jako argument, że Klient sam nie wykonał swojego zobowiązania. Jednakże w przypadku nienależytego wykonania zobowiązania wzajemnego, strona może wstrzymać świadczenie, jeśli druga strona go nie wykonuje (art. 488 KC). Klient ma również silne argumenty w postaci opóźnienia Dewelopera.</w:t>
      </w:r>
    </w:p>
    <w:p>
      <w:pPr>
        <w:pStyle w:val="BodyText"/>
      </w:pPr>
      <w:r>
        <w:rPr>
          <w:b/>
          <w:bCs/>
        </w:rPr>
        <w:t xml:space="preserve">Kontrargumenty strony przeciwnej:</w:t>
      </w:r>
      <w:r>
        <w:t xml:space="preserve"> </w:t>
      </w:r>
      <w:r>
        <w:t xml:space="preserve">1.</w:t>
      </w:r>
      <w:r>
        <w:t xml:space="preserve"> </w:t>
      </w:r>
      <w:r>
        <w:rPr>
          <w:b/>
          <w:bCs/>
        </w:rPr>
        <w:t xml:space="preserve">Siła wyższa:</w:t>
      </w:r>
      <w:r>
        <w:t xml:space="preserve"> </w:t>
      </w:r>
      <w:r>
        <w:t xml:space="preserve">Deweloper będzie podtrzymywał, że opóźnienia są wynikiem okoliczności niezależnych od niego, takich jak problemy z dostawami materiałów i formalnościami administracyjnymi.</w:t>
      </w:r>
      <w:r>
        <w:t xml:space="preserve"> </w:t>
      </w:r>
      <w:r>
        <w:t xml:space="preserve">2.</w:t>
      </w:r>
      <w:r>
        <w:t xml:space="preserve"> </w:t>
      </w:r>
      <w:r>
        <w:rPr>
          <w:b/>
          <w:bCs/>
        </w:rPr>
        <w:t xml:space="preserve">Miarkowanie kary umownej:</w:t>
      </w:r>
      <w:r>
        <w:t xml:space="preserve"> </w:t>
      </w:r>
      <w:r>
        <w:t xml:space="preserve">Deweloper może wnosić o obniżenie kary umownej, wskazując na jej wysokość w stosunku do faktycznej szkody lub na to, że zobowiązanie w końcu zostanie wykonane.</w:t>
      </w:r>
      <w:r>
        <w:t xml:space="preserve"> </w:t>
      </w:r>
      <w:r>
        <w:t xml:space="preserve">3.</w:t>
      </w:r>
      <w:r>
        <w:t xml:space="preserve"> </w:t>
      </w:r>
      <w:r>
        <w:rPr>
          <w:b/>
          <w:bCs/>
        </w:rPr>
        <w:t xml:space="preserve">Brak należytego udowodnienia szkody:</w:t>
      </w:r>
      <w:r>
        <w:t xml:space="preserve"> </w:t>
      </w:r>
      <w:r>
        <w:t xml:space="preserve">Deweloper może kwestionować wysokość lub zasadność dochodzonego odszkodowania, np. poprzez podważanie stawki najmu lokalu zastępczego lub konieczności ponoszenia kosztów przechowania.</w:t>
      </w:r>
      <w:r>
        <w:t xml:space="preserve"> </w:t>
      </w:r>
      <w:r>
        <w:t xml:space="preserve">4.</w:t>
      </w:r>
      <w:r>
        <w:t xml:space="preserve"> </w:t>
      </w:r>
      <w:r>
        <w:rPr>
          <w:b/>
          <w:bCs/>
        </w:rPr>
        <w:t xml:space="preserve">Wstrzymanie płatności przez Klienta:</w:t>
      </w:r>
      <w:r>
        <w:t xml:space="preserve"> </w:t>
      </w:r>
      <w:r>
        <w:t xml:space="preserve">Deweloper może argumentować, że Klient, wstrzymując dalsze płatności, sam naruszył umowę.</w:t>
      </w:r>
    </w:p>
    <w:p>
      <w:pPr>
        <w:pStyle w:val="BodyText"/>
      </w:pPr>
      <w:r>
        <w:rPr>
          <w:b/>
          <w:bCs/>
        </w:rPr>
        <w:t xml:space="preserve">Rekomendowana strategia:</w:t>
      </w:r>
      <w:r>
        <w:t xml:space="preserve"> </w:t>
      </w:r>
      <w:r>
        <w:t xml:space="preserve">1.</w:t>
      </w:r>
      <w:r>
        <w:t xml:space="preserve"> </w:t>
      </w:r>
      <w:r>
        <w:rPr>
          <w:b/>
          <w:bCs/>
        </w:rPr>
        <w:t xml:space="preserve">Postępowanie przedsądowe:</w:t>
      </w:r>
      <w:r>
        <w:t xml:space="preserve"> </w:t>
      </w:r>
      <w:r>
        <w:t xml:space="preserve">W pierwszej kolejności należy wysłać do Dewelopera ostateczne wezwanie do zapłaty kar umownych i odszkodowania, wyznaczając krótki, ale rozsądny termin (np. 7-14 dni). Pismo powinno zawierać precyzyjne wyliczenie roszczeń i wskazywać na gotowość Klienta do odstąpienia od umowy w przypadku braku zapłaty. Należy również wezwać Dewelopera do przedstawienia pełnej dokumentacji dotyczącej rzekomej siły wyższej, wskazując na brak spełnienia warunków klauzuli umownej.</w:t>
      </w:r>
      <w:r>
        <w:t xml:space="preserve"> </w:t>
      </w:r>
      <w:r>
        <w:t xml:space="preserve">2.</w:t>
      </w:r>
      <w:r>
        <w:t xml:space="preserve"> </w:t>
      </w:r>
      <w:r>
        <w:rPr>
          <w:b/>
          <w:bCs/>
        </w:rPr>
        <w:t xml:space="preserve">Sąd:</w:t>
      </w:r>
      <w:r>
        <w:t xml:space="preserve"> </w:t>
      </w:r>
      <w:r>
        <w:t xml:space="preserve">W przypadku braku reakcji Dewelopera lub niezadowalającej odpowiedzi, należy niezwłocznie złożyć pozew do sądu. W pozwie należy:</w:t>
      </w:r>
      <w:r>
        <w:t xml:space="preserve"> </w:t>
      </w:r>
      <w:r>
        <w:t xml:space="preserve">* Dochodzić zapłaty kar umownych (do maksymalnej kwoty umownej) oraz odszkodowania za faktycznie poniesione koszty najmu, przechowania i przeprowadzki.</w:t>
      </w:r>
      <w:r>
        <w:t xml:space="preserve"> </w:t>
      </w:r>
      <w:r>
        <w:t xml:space="preserve">* Zawnioskować o zabezpieczenie powództwa, np. poprzez wpis ostrzeżenia w księdze wieczystej nieruchomości Dewelopera, aby zabezpieczyć roszczenia pieniężne Klienta (art. 730 i nast. KPC).</w:t>
      </w:r>
      <w:r>
        <w:t xml:space="preserve"> </w:t>
      </w:r>
      <w:r>
        <w:t xml:space="preserve">* Wnieść o dopuszczenie dowodu z opinii biegłego sądowego z zakresu budownictwa na okoliczność oceny stanu zaawansowania prac, przyczyn opóźnień oraz kwalifikacji</w:t>
      </w:r>
      <w:r>
        <w:t xml:space="preserve"> </w:t>
      </w:r>
      <w:r>
        <w:t xml:space="preserve">“siły wyższej”</w:t>
      </w:r>
      <w:r>
        <w:t xml:space="preserve">.</w:t>
      </w:r>
      <w:r>
        <w:t xml:space="preserve"> </w:t>
      </w:r>
      <w:r>
        <w:t xml:space="preserve">* Wnieść o zwrócenie się do organów administracji o dokumentację dotyczącą inwestycji.</w:t>
      </w:r>
      <w:r>
        <w:t xml:space="preserve"> </w:t>
      </w:r>
      <w:r>
        <w:t xml:space="preserve">* Wskazać świadków, w tym żonę Klienta.</w:t>
      </w:r>
      <w:r>
        <w:t xml:space="preserve"> </w:t>
      </w:r>
      <w:r>
        <w:t xml:space="preserve">3.</w:t>
      </w:r>
      <w:r>
        <w:t xml:space="preserve"> </w:t>
      </w:r>
      <w:r>
        <w:rPr>
          <w:b/>
          <w:bCs/>
        </w:rPr>
        <w:t xml:space="preserve">Alternatywa (Odstąpienie od umowy):</w:t>
      </w:r>
      <w:r>
        <w:t xml:space="preserve"> </w:t>
      </w:r>
      <w:r>
        <w:t xml:space="preserve">Jeśli Klient priorytetowo traktuje szybkie odzyskanie wpłaconych środków, alternatywną strategią jest odstąpienie od umowy (po upływie 180 dni zwłoki) i dochodzenie zwrotu wpłaconej kwoty wraz z odsetkami oraz odszkodowania. Ta opcja może być mniej skomplikowana dowodowo w zakresie kar umownych, ale nadal będzie wymagać dochodzenia odszkodowania.</w:t>
      </w:r>
    </w:p>
    <w:bookmarkEnd w:id="20"/>
    <w:bookmarkStart w:id="21" w:name="instrukcja-kolejnych-kroków"/>
    <w:p>
      <w:pPr>
        <w:pStyle w:val="Heading2"/>
      </w:pPr>
      <w:r>
        <w:t xml:space="preserve">Instrukcja kolejnych kroków</w:t>
      </w:r>
    </w:p>
    <w:p>
      <w:pPr>
        <w:pStyle w:val="Compact"/>
        <w:numPr>
          <w:ilvl w:val="0"/>
          <w:numId w:val="1015"/>
        </w:numPr>
      </w:pPr>
      <w:r>
        <w:rPr>
          <w:b/>
          <w:bCs/>
        </w:rPr>
        <w:t xml:space="preserve">Analiza i zgromadzenie dowodów (Niezwłocznie):</w:t>
      </w:r>
    </w:p>
    <w:p>
      <w:pPr>
        <w:pStyle w:val="Compact"/>
        <w:numPr>
          <w:ilvl w:val="1"/>
          <w:numId w:val="1016"/>
        </w:numPr>
      </w:pPr>
      <w:r>
        <w:t xml:space="preserve">Zgromadzić wszystkie rachunki i umowy dotyczące kosztów najmu, przechowania mebli i ewentualnie przeprowadzki.</w:t>
      </w:r>
    </w:p>
    <w:p>
      <w:pPr>
        <w:pStyle w:val="Compact"/>
        <w:numPr>
          <w:ilvl w:val="1"/>
          <w:numId w:val="1016"/>
        </w:numPr>
      </w:pPr>
      <w:r>
        <w:t xml:space="preserve">Zebrać całą korespondencję z Deweloperem, w tym pisma z 20.07.2024 i 15.10.2024 [Źródło 1].</w:t>
      </w:r>
    </w:p>
    <w:p>
      <w:pPr>
        <w:pStyle w:val="Compact"/>
        <w:numPr>
          <w:ilvl w:val="1"/>
          <w:numId w:val="1016"/>
        </w:numPr>
      </w:pPr>
      <w:r>
        <w:t xml:space="preserve">Wykonanie dokumentacji fotograficznej/filmowej z placu budowy (aktualny stan prac).</w:t>
      </w:r>
    </w:p>
    <w:p>
      <w:pPr>
        <w:pStyle w:val="Compact"/>
        <w:numPr>
          <w:ilvl w:val="1"/>
          <w:numId w:val="1016"/>
        </w:numPr>
      </w:pPr>
      <w:r>
        <w:t xml:space="preserve">Rozmowa z Klientem w celu ustalenia, czy są inne poniesione koszty lub utracone korzyści, które mogą być przedmiotem roszczenia.</w:t>
      </w:r>
    </w:p>
    <w:p>
      <w:pPr>
        <w:pStyle w:val="Compact"/>
        <w:numPr>
          <w:ilvl w:val="0"/>
          <w:numId w:val="1015"/>
        </w:numPr>
      </w:pPr>
      <w:r>
        <w:rPr>
          <w:b/>
          <w:bCs/>
        </w:rPr>
        <w:t xml:space="preserve">Przygotowanie Ostatecznego Wezwania do Zapłaty (w ciągu 3-5 dni roboczych):</w:t>
      </w:r>
    </w:p>
    <w:p>
      <w:pPr>
        <w:pStyle w:val="Compact"/>
        <w:numPr>
          <w:ilvl w:val="1"/>
          <w:numId w:val="1017"/>
        </w:numPr>
      </w:pPr>
      <w:r>
        <w:t xml:space="preserve">Sporządzić pismo zawierające precyzyjne wyliczenie kar umownych (maksymalnie 52 000,00 zł) i odszkodowania (koszty najmu i przechowania), wraz z odsetkami.</w:t>
      </w:r>
    </w:p>
    <w:p>
      <w:pPr>
        <w:pStyle w:val="Compact"/>
        <w:numPr>
          <w:ilvl w:val="1"/>
          <w:numId w:val="1017"/>
        </w:numPr>
      </w:pPr>
      <w:r>
        <w:t xml:space="preserve">Wskazać na upływ terminu 180 dni i prawo do odstąpienia od umowy.</w:t>
      </w:r>
    </w:p>
    <w:p>
      <w:pPr>
        <w:pStyle w:val="Compact"/>
        <w:numPr>
          <w:ilvl w:val="1"/>
          <w:numId w:val="1017"/>
        </w:numPr>
      </w:pPr>
      <w:r>
        <w:t xml:space="preserve">Wyznaczyć krótki termin na zapłatę (np. 7 dni od daty doręczenia).</w:t>
      </w:r>
    </w:p>
    <w:p>
      <w:pPr>
        <w:pStyle w:val="Compact"/>
        <w:numPr>
          <w:ilvl w:val="1"/>
          <w:numId w:val="1017"/>
        </w:numPr>
      </w:pPr>
      <w:r>
        <w:t xml:space="preserve">Wezwać do przedstawienia pełnej dokumentacji dotyczącej rzekomej siły wyższej.</w:t>
      </w:r>
    </w:p>
    <w:p>
      <w:pPr>
        <w:pStyle w:val="Compact"/>
        <w:numPr>
          <w:ilvl w:val="1"/>
          <w:numId w:val="1017"/>
        </w:numPr>
      </w:pPr>
      <w:r>
        <w:t xml:space="preserve">Poinformować o zamiarze skierowania sprawy na drogę sądową w przypadku braku zapłaty.</w:t>
      </w:r>
    </w:p>
    <w:p>
      <w:pPr>
        <w:pStyle w:val="Compact"/>
        <w:numPr>
          <w:ilvl w:val="0"/>
          <w:numId w:val="1015"/>
        </w:numPr>
      </w:pPr>
      <w:r>
        <w:rPr>
          <w:b/>
          <w:bCs/>
        </w:rPr>
        <w:t xml:space="preserve">Doręczenie Ostatecznego Wezwania (Niezwłocznie po przygotowaniu):</w:t>
      </w:r>
    </w:p>
    <w:p>
      <w:pPr>
        <w:pStyle w:val="Compact"/>
        <w:numPr>
          <w:ilvl w:val="1"/>
          <w:numId w:val="1018"/>
        </w:numPr>
      </w:pPr>
      <w:r>
        <w:t xml:space="preserve">Wysłać pismo listem poleconym za zwrotnym potwierdzeniem odbioru na adres siedziby Dewelopera.</w:t>
      </w:r>
    </w:p>
    <w:p>
      <w:pPr>
        <w:pStyle w:val="Compact"/>
        <w:numPr>
          <w:ilvl w:val="0"/>
          <w:numId w:val="1015"/>
        </w:numPr>
      </w:pPr>
      <w:r>
        <w:rPr>
          <w:b/>
          <w:bCs/>
        </w:rPr>
        <w:t xml:space="preserve">Monitorowanie odpowiedzi Dewelopera (Po upływie terminu z wezwania):</w:t>
      </w:r>
    </w:p>
    <w:p>
      <w:pPr>
        <w:pStyle w:val="Compact"/>
        <w:numPr>
          <w:ilvl w:val="1"/>
          <w:numId w:val="1019"/>
        </w:numPr>
      </w:pPr>
      <w:r>
        <w:t xml:space="preserve">W przypadku braku odpowiedzi lub odmowy zapłaty, przystąpić do przygotowania pozwu.</w:t>
      </w:r>
    </w:p>
    <w:p>
      <w:pPr>
        <w:pStyle w:val="Compact"/>
        <w:numPr>
          <w:ilvl w:val="0"/>
          <w:numId w:val="1015"/>
        </w:numPr>
      </w:pPr>
      <w:r>
        <w:rPr>
          <w:b/>
          <w:bCs/>
        </w:rPr>
        <w:t xml:space="preserve">Przygotowanie Pozwu (w ciągu 7-10 dni roboczych od upływu terminu z wezwania):</w:t>
      </w:r>
    </w:p>
    <w:p>
      <w:pPr>
        <w:pStyle w:val="Compact"/>
        <w:numPr>
          <w:ilvl w:val="1"/>
          <w:numId w:val="1020"/>
        </w:numPr>
      </w:pPr>
      <w:r>
        <w:t xml:space="preserve">Sporządzić pozew o zapłatę kar umownych i odszkodowania, wraz z wnioskiem o zabezpieczenie powództwa.</w:t>
      </w:r>
    </w:p>
    <w:p>
      <w:pPr>
        <w:pStyle w:val="Compact"/>
        <w:numPr>
          <w:ilvl w:val="1"/>
          <w:numId w:val="1020"/>
        </w:numPr>
      </w:pPr>
      <w:r>
        <w:t xml:space="preserve">Dołączyć wszystkie zebrane dowody.</w:t>
      </w:r>
    </w:p>
    <w:p>
      <w:pPr>
        <w:pStyle w:val="Compact"/>
        <w:numPr>
          <w:ilvl w:val="1"/>
          <w:numId w:val="1020"/>
        </w:numPr>
      </w:pPr>
      <w:r>
        <w:t xml:space="preserve">Zawnioskować o dopuszczenie dowodu z opinii biegłego sądowego z zakresu budownictwa.</w:t>
      </w:r>
    </w:p>
    <w:p>
      <w:pPr>
        <w:pStyle w:val="Compact"/>
        <w:numPr>
          <w:ilvl w:val="1"/>
          <w:numId w:val="1020"/>
        </w:numPr>
      </w:pPr>
      <w:r>
        <w:t xml:space="preserve">Zawnioskować o zwrócenie się do organów administracji o dokumentację.</w:t>
      </w:r>
    </w:p>
    <w:p>
      <w:pPr>
        <w:pStyle w:val="Compact"/>
        <w:numPr>
          <w:ilvl w:val="0"/>
          <w:numId w:val="1015"/>
        </w:numPr>
      </w:pPr>
      <w:r>
        <w:rPr>
          <w:b/>
          <w:bCs/>
        </w:rPr>
        <w:t xml:space="preserve">Złożenie Pozwu (Niezwłocznie po przygotowaniu):</w:t>
      </w:r>
    </w:p>
    <w:p>
      <w:pPr>
        <w:pStyle w:val="Compact"/>
        <w:numPr>
          <w:ilvl w:val="1"/>
          <w:numId w:val="1021"/>
        </w:numPr>
      </w:pPr>
      <w:r>
        <w:t xml:space="preserve">Złożyć pozew we właściwym sądzie rejonowym lub okręgowym (w zależności od wartości przedmiotu sporu).</w:t>
      </w:r>
    </w:p>
    <w:bookmarkEnd w:id="21"/>
    <w:bookmarkStart w:id="23" w:name="X7cf9fb69d981b6f59c35c30317b4e8d9bb28469"/>
    <w:p>
      <w:pPr>
        <w:pStyle w:val="Heading2"/>
      </w:pPr>
      <w:r>
        <w:t xml:space="preserve">Projekty pism wskazanych w części IV kazusu</w:t>
      </w:r>
    </w:p>
    <w:p>
      <w:pPr>
        <w:pStyle w:val="FirstParagraph"/>
      </w:pPr>
      <w:r>
        <w:t xml:space="preserve">[[PROPOSE_DOC: Ostateczne Wezwanie do Zapłaty Kar Umownych i Odszkodowania]]</w:t>
      </w:r>
      <w:r>
        <w:t xml:space="preserve"> </w:t>
      </w:r>
      <w:r>
        <w:t xml:space="preserve">[[PROPOSE_DOC: Pozew o zapłatę wraz z wnioskiem o zabezpieczenie powództwa]]</w:t>
      </w:r>
      <w:r>
        <w:t xml:space="preserve"> </w:t>
      </w:r>
      <w:r>
        <w:t xml:space="preserve">[[PROPOSE_DOC: Oświadczenie o odstąpieniu od umowy deweloperskiej]]</w:t>
      </w:r>
    </w:p>
    <w:p>
      <w:r>
        <w:pict>
          <v:rect style="width:0;height:1.5pt" o:hralign="center" o:hrstd="t" o:hr="t"/>
        </w:pict>
      </w:r>
    </w:p>
    <w:bookmarkStart w:id="22" w:name="wykorzystane-źródła-i-orzeczenia"/>
    <w:p>
      <w:pPr>
        <w:pStyle w:val="Heading3"/>
      </w:pPr>
      <w:r>
        <w:t xml:space="preserve">Wykorzystane źródła i orzeczenia</w:t>
      </w:r>
    </w:p>
    <w:p>
      <w:pPr>
        <w:pStyle w:val="Compact"/>
        <w:numPr>
          <w:ilvl w:val="0"/>
          <w:numId w:val="1022"/>
        </w:numPr>
      </w:pPr>
      <w:r>
        <w:rPr>
          <w:b/>
          <w:bCs/>
        </w:rPr>
        <w:t xml:space="preserve">[attachment]</w:t>
      </w:r>
      <w:r>
        <w:t xml:space="preserve"> </w:t>
      </w:r>
      <w:r>
        <w:t xml:space="preserve">D1 · Streszczenie · Sprawa_LP050_opoznienie-dewelopera-w-przeniesieniu-wlasnosci-jakie-roszczenia-moze-.md — *</w:t>
      </w:r>
      <w:r>
        <w:t xml:space="preserve"> </w:t>
      </w:r>
      <w:r>
        <w:rPr>
          <w:b/>
          <w:bCs/>
        </w:rPr>
        <w:t xml:space="preserve">Typ dokumentu:</w:t>
      </w:r>
      <w:r>
        <w:t xml:space="preserve"> </w:t>
      </w:r>
      <w:r>
        <w:t xml:space="preserve">Stan faktyczny i zadanie dla kancelarii prawnej (kazus z zakresu najmu i nieruchomości).</w:t>
      </w:r>
    </w:p>
    <w:p>
      <w:pPr>
        <w:pStyle w:val="Compact"/>
        <w:numPr>
          <w:ilvl w:val="0"/>
          <w:numId w:val="1023"/>
        </w:numPr>
      </w:pPr>
      <w:r>
        <w:rPr>
          <w:b/>
          <w:bCs/>
        </w:rPr>
        <w:t xml:space="preserve">Sygnatura wewnętrzna Klienta:</w:t>
      </w:r>
      <w:r>
        <w:t xml:space="preserve"> </w:t>
      </w:r>
      <w:r>
        <w:t xml:space="preserve">sprawa ████/██/███.</w:t>
      </w:r>
    </w:p>
    <w:p>
      <w:pPr>
        <w:pStyle w:val="Compact"/>
        <w:numPr>
          <w:ilvl w:val="0"/>
          <w:numId w:val="1023"/>
        </w:numPr>
      </w:pPr>
      <w:r>
        <w:rPr>
          <w:b/>
          <w:bCs/>
        </w:rPr>
        <w:t xml:space="preserve">Strony postępowania:</w:t>
      </w:r>
    </w:p>
    <w:p>
      <w:pPr>
        <w:pStyle w:val="Compact"/>
        <w:numPr>
          <w:ilvl w:val="1"/>
          <w:numId w:val="1024"/>
        </w:numPr>
      </w:pPr>
      <w:r>
        <w:t xml:space="preserve">Klient: Pan M. N. (Nabywca).</w:t>
      </w:r>
    </w:p>
    <w:p>
      <w:pPr>
        <w:pStyle w:val="Compact"/>
        <w:numPr>
          <w:ilvl w:val="1"/>
          <w:numId w:val="1024"/>
        </w:numPr>
      </w:pPr>
      <w:r>
        <w:t xml:space="preserve">Strona przeciwna: N.-B. Sp. z o.o. (Deweloper)</w:t>
      </w:r>
    </w:p>
    <w:p>
      <w:pPr>
        <w:pStyle w:val="Compact"/>
        <w:numPr>
          <w:ilvl w:val="0"/>
          <w:numId w:val="1025"/>
        </w:numPr>
      </w:pPr>
      <w:r>
        <w:rPr>
          <w:b/>
          <w:bCs/>
        </w:rPr>
        <w:t xml:space="preserve">[attachment]</w:t>
      </w:r>
      <w:r>
        <w:t xml:space="preserve"> </w:t>
      </w:r>
      <w:r>
        <w:t xml:space="preserve">D1 · Sprawa_LP050_opoznienie-dewelopera-w-przeniesieniu-wlasnosci-jakie-roszczenia-moze-.md • 3. Koszty przechowania mebli: 1 200,00 zł (rachunek z dnia 15.07.2024). • fragment 5 — ## III. Wytyczne i zadania do analizy prawnej dla prawnika</w:t>
      </w:r>
    </w:p>
    <w:p>
      <w:pPr>
        <w:pStyle w:val="FirstParagraph"/>
      </w:pPr>
      <w:r>
        <w:t xml:space="preserve">Proszę przygotować szczegółową analizę prawną, obejmującą w szczególności ustosunkowanie się do poniższych pytań i zagadnień, z przywołaniem właściwych przepisów prawa (Kodeks cywilny, ustawa o ochronie praw nabywcy lokalu mieszkalnego i do</w:t>
      </w:r>
      <w:r>
        <w:t xml:space="preserve"> </w:t>
      </w:r>
      <w:r>
        <w:t xml:space="preserve">3.</w:t>
      </w:r>
      <w:r>
        <w:t xml:space="preserve"> </w:t>
      </w:r>
      <w:r>
        <w:rPr>
          <w:b/>
          <w:bCs/>
        </w:rPr>
        <w:t xml:space="preserve">[ruling]</w:t>
      </w:r>
      <w:r>
        <w:t xml:space="preserve"> </w:t>
      </w:r>
      <w:r>
        <w:t xml:space="preserve">I C 218/19 • 2019-12-23 • Sąd powszechny — Sygn. akt I C 218/19 UZASADNIENIE Pozwem z 30 listopada 2017 roku powód A. W. wniósł o zasądzenie od pozwanego (…) Bank S.A. w W. kwoty 21.992,50,- zł wraz z odsetkami ustawowymi za opóźnienie liczonymi od 2 listopada 2017 r. do dnia zapłaty oraz kosztów sądowych według norm przepisanych, w tym ko</w:t>
      </w:r>
      <w:r>
        <w:t xml:space="preserve"> </w:t>
      </w:r>
      <w:r>
        <w:t xml:space="preserve">4.</w:t>
      </w:r>
      <w:r>
        <w:t xml:space="preserve"> </w:t>
      </w:r>
      <w:r>
        <w:rPr>
          <w:b/>
          <w:bCs/>
        </w:rPr>
        <w:t xml:space="preserve">[ruling]</w:t>
      </w:r>
      <w:r>
        <w:t xml:space="preserve"> </w:t>
      </w:r>
      <w:r>
        <w:t xml:space="preserve">I C 3559/17 • 2018-01-10 • Sąd powszechny — Sygn. akt I C 3559/17 upr. WYROK ZAOCZNY W IMIENIU RZECZYPOSPOLITEJ POLSKIEJ Data 13 listopada 2017 r. Sąd Rejonowy w Olsztynie, I Wydział Cywilny, w składzie: Przewodniczący: SSR J. S. po rozpoznaniu w dniu 13 listopada 2017 r., w O., na posiedzeniu niejawnym w trybie art. 341 kpc, spra</w:t>
      </w:r>
      <w:r>
        <w:t xml:space="preserve"> </w:t>
      </w:r>
      <w:r>
        <w:t xml:space="preserve">5.</w:t>
      </w:r>
      <w:r>
        <w:t xml:space="preserve"> </w:t>
      </w:r>
      <w:r>
        <w:rPr>
          <w:b/>
          <w:bCs/>
        </w:rPr>
        <w:t xml:space="preserve">[ruling]</w:t>
      </w:r>
      <w:r>
        <w:t xml:space="preserve"> </w:t>
      </w:r>
      <w:r>
        <w:t xml:space="preserve">VI Ka 257/20 • 2020-07-23 • Sąd powszechny — Sygn. akt VI Ka 257/20 WYROK W IMIENIU RZECZYPOSPOLITEJ POLSKIEJ Dnia 23 lipca 2020 r. Sąd Okręgowy w Elblągu VI Wydział Karny Odwoławczy w składzie: Przewodniczący: sędzia N. B. Protokolant: stażysta A. P. przy udziale Prokuratora Prokuratury Rejonowej w Elblągu Małgorzaty Lewko p</w:t>
      </w:r>
      <w:r>
        <w:t xml:space="preserve"> </w:t>
      </w:r>
      <w:r>
        <w:t xml:space="preserve">6.</w:t>
      </w:r>
      <w:r>
        <w:t xml:space="preserve"> </w:t>
      </w:r>
      <w:r>
        <w:rPr>
          <w:b/>
          <w:bCs/>
        </w:rPr>
        <w:t xml:space="preserve">[ruling]</w:t>
      </w:r>
      <w:r>
        <w:t xml:space="preserve"> </w:t>
      </w:r>
      <w:r>
        <w:t xml:space="preserve">VI Ka 946/16 • 2016-11-04 • Sąd powszechny — Sygn. akt VI Ka 946/16 WYROK W IMIENIU RZECZYPOSPOLITEJ POLSKIEJ Dnia 4 listopada 2016 r. Sąd Okręgowy Warszawa-Praga w Warszawie VI Wydział Karny Odwoławczy w składzie : Przewodniczący: SSO A. W. (spr.) Sędziowie: SO A. M. SO S. M. protokolant:</w:t>
      </w:r>
      <w:r>
        <w:t xml:space="preserve"> </w:t>
      </w:r>
      <w:r>
        <w:t xml:space="preserve">7.</w:t>
      </w:r>
      <w:r>
        <w:t xml:space="preserve"> </w:t>
      </w:r>
      <w:r>
        <w:rPr>
          <w:b/>
          <w:bCs/>
        </w:rPr>
        <w:t xml:space="preserve">[ruling]</w:t>
      </w:r>
      <w:r>
        <w:t xml:space="preserve"> </w:t>
      </w:r>
      <w:r>
        <w:t xml:space="preserve">I ACa 1723/24 • 2024-10-09 • Sąd powszechny — Sygn. akt I ACa 1723/24 WYROK W IMIENIU RZECZYPOSPOLITEJ POLSKIEJ Dnia 9 października 2024 r. Sąd Apelacyjny w Krakowie – I Wydział Cywilny w składzie: Przewodniczący: SSA J. W. Sędziowie: SSA R. J. SSA Z. D. Protokolant: J. G. po rozpoznaniu w dniu 9 października</w:t>
      </w:r>
      <w:r>
        <w:t xml:space="preserve"> </w:t>
      </w:r>
      <w:r>
        <w:t xml:space="preserve">8.</w:t>
      </w:r>
      <w:r>
        <w:t xml:space="preserve"> </w:t>
      </w:r>
      <w:r>
        <w:rPr>
          <w:b/>
          <w:bCs/>
        </w:rPr>
        <w:t xml:space="preserve">[ruling]</w:t>
      </w:r>
      <w:r>
        <w:t xml:space="preserve"> </w:t>
      </w:r>
      <w:r>
        <w:t xml:space="preserve">II Ca 1229/13 • 2013-10-28 • Sąd powszechny — Sygn. akt II Ca 1229/13 WYROK W IMIENIU RZECZYPOSPOLITEJ POLSKIEJ Wrocław, dnia 30 września 2013 r. Sąd Okręgowy we Wrocławiu II Wydział Cywilny Odwoławczy w składzie następującym : Przewodniczący SSO J. B. - Krawczyk po rozpoznaniu w dniu 30 września 2013 r. we Wrocławiu na posiedzen</w:t>
      </w:r>
      <w:r>
        <w:t xml:space="preserve"> </w:t>
      </w:r>
      <w:r>
        <w:t xml:space="preserve">9.</w:t>
      </w:r>
      <w:r>
        <w:t xml:space="preserve"> </w:t>
      </w:r>
      <w:r>
        <w:rPr>
          <w:b/>
          <w:bCs/>
        </w:rPr>
        <w:t xml:space="preserve">[ruling]</w:t>
      </w:r>
      <w:r>
        <w:t xml:space="preserve"> </w:t>
      </w:r>
      <w:r>
        <w:t xml:space="preserve">IV Ka 635/20 • 2020-12-08 • Sąd powszechny — UZASADNIENIE Formularz UK 2 Sygnatura akt IV Ka 635/20 Załącznik dołącza się w każdym przypadku. Podać liczbę załączników: 1 1. CZĘŚĆ WSTĘPNA 1.1. Oznaczenie wyroku sądu pierwszej instancji wyrok Sądu Rejonowego w Radomsku z dnia 12 sierpnia 2020 roku w sprawie II K 318/20 1.2. Podmiot wnoszący apel</w:t>
      </w:r>
      <w:r>
        <w:t xml:space="preserve"> </w:t>
      </w:r>
      <w:r>
        <w:t xml:space="preserve">10.</w:t>
      </w:r>
      <w:r>
        <w:t xml:space="preserve"> </w:t>
      </w:r>
      <w:r>
        <w:rPr>
          <w:b/>
          <w:bCs/>
        </w:rPr>
        <w:t xml:space="preserve">[ruling]</w:t>
      </w:r>
      <w:r>
        <w:t xml:space="preserve"> </w:t>
      </w:r>
      <w:r>
        <w:t xml:space="preserve">VI P 789/15 • 2016-09-21 • Sąd powszechny — Sygn. akt VI P 789/15 WYROK W IMIENIU RZECZYPOSPOLITEJ POLSKIEJ Dnia 21 września 2016r. Sąd Rejonowy Gdańsk- Południe w Gdańsku Wydział VI Pracy i Ubezpieczeń Społecznych W składzie następującym : Przewodniczący SSR B. Y. Ławnicy J. B. Genowefa Miotk- Hetnerowska Protokolant: Edyt</w:t>
      </w:r>
      <w:r>
        <w:t xml:space="preserve"> </w:t>
      </w:r>
      <w:r>
        <w:t xml:space="preserve">11.</w:t>
      </w:r>
      <w:r>
        <w:t xml:space="preserve"> </w:t>
      </w:r>
      <w:r>
        <w:rPr>
          <w:b/>
          <w:bCs/>
        </w:rPr>
        <w:t xml:space="preserve">[ruling]</w:t>
      </w:r>
      <w:r>
        <w:t xml:space="preserve"> </w:t>
      </w:r>
      <w:r>
        <w:t xml:space="preserve">I ACa 2417/24 • 2024-09-30 • Sąd powszechny — Sygn. akt I ACa 2417/24 WYROK W IMIENIU RZECZYPOSPOLITEJ POLSKIEJ Dnia 30 września 2024 r. Sąd Apelacyjny w Krakowie – I Wydział Cywilny w składzie: Przewodniczący: SSA P. C. Protokolant: M. T. po rozpoznaniu w dniu 18 września 2024 r. w Krakowie na rozprawie sprawy z powództwa P</w:t>
      </w:r>
      <w:r>
        <w:t xml:space="preserve"> </w:t>
      </w:r>
      <w:r>
        <w:t xml:space="preserve">12.</w:t>
      </w:r>
      <w:r>
        <w:t xml:space="preserve"> </w:t>
      </w:r>
      <w:r>
        <w:rPr>
          <w:b/>
          <w:bCs/>
        </w:rPr>
        <w:t xml:space="preserve">[ruling]</w:t>
      </w:r>
      <w:r>
        <w:t xml:space="preserve"> </w:t>
      </w:r>
      <w:r>
        <w:t xml:space="preserve">III RC 179/17 • 2018-06-20 • Sąd powszechny — (…) 179/17 UZASADNIENIE M. A. i N. K. zastępowani przez matkę A. K. (1) wnieśli o zasądzenie od ich ojca T. K. alimentów w kwotach odpowiednio po 700 i 800zł m-cznie, poczynając od 1 września 2015r. Ponadto zażądali udzielenia im zabezpieczenia powództwa na wspomnianą wyżej kwotę ( k. 3 i 7</w:t>
      </w:r>
      <w:r>
        <w:t xml:space="preserve"> </w:t>
      </w:r>
      <w:r>
        <w:t xml:space="preserve">13.</w:t>
      </w:r>
      <w:r>
        <w:t xml:space="preserve"> </w:t>
      </w:r>
      <w:r>
        <w:rPr>
          <w:b/>
          <w:bCs/>
        </w:rPr>
        <w:t xml:space="preserve">[ruling]</w:t>
      </w:r>
      <w:r>
        <w:t xml:space="preserve"> </w:t>
      </w:r>
      <w:r>
        <w:t xml:space="preserve">IV RC 257/25 • 2026-05-19 • Sąd powszechny — ========================================================================================================================</w:t>
      </w:r>
      <w:r>
        <w:t xml:space="preserve"> </w:t>
      </w:r>
      <w:r>
        <w:t xml:space="preserve">14.</w:t>
      </w:r>
      <w:r>
        <w:t xml:space="preserve"> </w:t>
      </w:r>
      <w:r>
        <w:rPr>
          <w:b/>
          <w:bCs/>
        </w:rPr>
        <w:t xml:space="preserve">[ruling]</w:t>
      </w:r>
      <w:r>
        <w:t xml:space="preserve"> </w:t>
      </w:r>
      <w:r>
        <w:t xml:space="preserve">I C 2041/17 • 2017-09-18 • Sąd powszechny — Sygn. akt I C 2041/17 ZARZĄDZENIE Na podstawie art. 1481 § 1 k.p.c. skierować sprawę na posiedzenie niejawne celem rozpoznania. Dnia 18 września 2017 roku SSR P. S.</w:t>
      </w:r>
      <w:r>
        <w:t xml:space="preserve"> </w:t>
      </w:r>
      <w:r>
        <w:t xml:space="preserve">15.</w:t>
      </w:r>
      <w:r>
        <w:t xml:space="preserve"> </w:t>
      </w:r>
      <w:r>
        <w:rPr>
          <w:b/>
          <w:bCs/>
        </w:rPr>
        <w:t xml:space="preserve">[ruling]</w:t>
      </w:r>
      <w:r>
        <w:t xml:space="preserve"> </w:t>
      </w:r>
      <w:r>
        <w:t xml:space="preserve">I C 2015/17 • 2017-10-12 • Sąd powszechny — Sygn. akt I C 2015/17 upr. WYROK ZAOCZNY W IMIENIU RZECZYPOSPOLITEJ POLSKIEJ Dnia 12 października 2017 r. Sąd Rejonowy w Olsztynie, I Wydział Cywilny, w składzie: Przewodniczący: SSR P. J. Protokolant: starszy sekretarz sądowy J. K. - Rogoż po rozpoznaniu w dniu 12 października</w:t>
      </w:r>
      <w:r>
        <w:t xml:space="preserve"> </w:t>
      </w:r>
      <w:r>
        <w:t xml:space="preserve">16.</w:t>
      </w:r>
      <w:r>
        <w:t xml:space="preserve"> </w:t>
      </w:r>
      <w:r>
        <w:rPr>
          <w:b/>
          <w:bCs/>
        </w:rPr>
        <w:t xml:space="preserve">[ruling]</w:t>
      </w:r>
      <w:r>
        <w:t xml:space="preserve"> </w:t>
      </w:r>
      <w:r>
        <w:t xml:space="preserve">VIII Gz 110/13 • 2013-11-19 • Sąd powszechny — Sygn. akt VIII Gz 110/13 POSTANOWIENIE Dnia 19 listopada 2013 r. Sąd Okręgowy w Bydgoszczy VIII Wydział Gospodarczy w następującym składzie: Przewodniczący SSO E. K. po rozpoznaniu w dniu 19 listopada 2013 r. w Bydgoszczy na posiedzeniu niejawnym sprawy z powództwa T. P. i A. R. przeciwko (.</w:t>
      </w:r>
      <w:r>
        <w:t xml:space="preserve"> </w:t>
      </w:r>
      <w:r>
        <w:t xml:space="preserve">17.</w:t>
      </w:r>
      <w:r>
        <w:t xml:space="preserve"> </w:t>
      </w:r>
      <w:r>
        <w:rPr>
          <w:b/>
          <w:bCs/>
        </w:rPr>
        <w:t xml:space="preserve">[ruling]</w:t>
      </w:r>
      <w:r>
        <w:t xml:space="preserve"> </w:t>
      </w:r>
      <w:r>
        <w:t xml:space="preserve">I C 1008/17 • 2017-08-08 • Sąd powszechny — Sygn. akt I C 1008/17 upr. WYROK ZAOCZNY W IMIENIU RZECZYPOSPOLITEJ POLSKIEJ Dnia 8 sierpnia 2017 r. Sąd Rejonowy w Olsztynie, I Wydział Cywilny, w składzie: Przewodniczący: SSR P. J. Protokolant: A. L. po rozpoznaniu w dniu 8 sierpnia 2017 r., w O., na rozprawie, sprawy z powództw</w:t>
      </w:r>
      <w:r>
        <w:t xml:space="preserve"> </w:t>
      </w:r>
      <w:r>
        <w:t xml:space="preserve">18.</w:t>
      </w:r>
      <w:r>
        <w:t xml:space="preserve"> </w:t>
      </w:r>
      <w:r>
        <w:rPr>
          <w:b/>
          <w:bCs/>
        </w:rPr>
        <w:t xml:space="preserve">[ruling]</w:t>
      </w:r>
      <w:r>
        <w:t xml:space="preserve"> </w:t>
      </w:r>
      <w:r>
        <w:t xml:space="preserve">I ACa 972/17 • 2018-03-29 • Sąd powszechny — Sygn. akt I ACa 972/17 WYROK W IMIENIU RZECZYPOSPOLITEJ POLSKIEJ Dnia 29 marca 2018 r. Sąd Apelacyjny w Białymstoku I Wydział Cywilny w składzie: Przewodniczący : SSA D. M. Sędziowie : SA E. B. SO del. J. M. (spr.) Protokolant : S. R. po rozpoznaniu</w:t>
      </w:r>
      <w:r>
        <w:t xml:space="preserve"> </w:t>
      </w:r>
      <w:r>
        <w:t xml:space="preserve">19.</w:t>
      </w:r>
      <w:r>
        <w:t xml:space="preserve"> </w:t>
      </w:r>
      <w:r>
        <w:rPr>
          <w:b/>
          <w:bCs/>
        </w:rPr>
        <w:t xml:space="preserve">[ruling]</w:t>
      </w:r>
      <w:r>
        <w:t xml:space="preserve"> </w:t>
      </w:r>
      <w:r>
        <w:t xml:space="preserve">I C 1769/17 • 2017-09-28 • Sąd powszechny — Sygn. akt I C 1769/17 WYROK ZAOCZNY W IMIENIU RZECZYPOSPOLITEJ POLSKIEJ Dnia 28 września 2017 r. Sąd Rejonowy w Olsztynie, I Wydział Cywilny, w składzie: Przewodniczący: SSR P. J. Protokolant: starszy sekretarz sądowy J. K. - Rogoż po rozpoznaniu w dniu 28 września 2017 r., w O.</w:t>
      </w:r>
      <w:r>
        <w:t xml:space="preserve"> </w:t>
      </w:r>
      <w:r>
        <w:t xml:space="preserve">20.</w:t>
      </w:r>
      <w:r>
        <w:t xml:space="preserve"> </w:t>
      </w:r>
      <w:r>
        <w:rPr>
          <w:b/>
          <w:bCs/>
        </w:rPr>
        <w:t xml:space="preserve">[ruling]</w:t>
      </w:r>
      <w:r>
        <w:t xml:space="preserve"> </w:t>
      </w:r>
      <w:r>
        <w:t xml:space="preserve">I ACz 1679/13 • 2013-10-03 • Sąd powszechny — Sygn. akt I Cz 1679/13 POSTANOWIENIE Dnia 3 października 2013r. Sąd Apelacyjny w Poznaniu Wydział I Cywilny w składzie następującym: Przewodniczący - Sędzia SA Mariola Głowacka (spr.) Sędziowie SA R. S. SA J. G. po rozpoznaniu na posiedzeniu niejawnym w dniu 3 października 2013r.</w:t>
      </w:r>
    </w:p>
    <w:bookmarkEnd w:id="22"/>
    <w:bookmarkEnd w:id="23"/>
    <w:bookmarkEnd w:id="2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1"/>
  </w:num>
  <w:num w:numId="1024">
    <w:abstractNumId w:val="991"/>
  </w:num>
  <w:num w:numId="102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2026-10-05T13:29:42Z</dcterms:created>
  <dcterms:modified xsi:type="dcterms:W3CDTF">2026-10-05T13:29:42Z</dcterms:modified>
</cp:coreProperties>
</file>

<file path=docProps/custom.xml><?xml version="1.0" encoding="utf-8"?>
<Properties xmlns="http://schemas.openxmlformats.org/officeDocument/2006/custom-properties" xmlns:vt="http://schemas.openxmlformats.org/officeDocument/2006/docPropsVTypes"/>
</file>