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shtml" ContentType="text/ht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sprawa-53-rozwiązanie-casebox"/>
    <w:p>
      <w:pPr>
        <w:pStyle w:val="Heading1"/>
      </w:pPr>
      <w:r>
        <w:t xml:space="preserve">Sprawa 53 — rozwiązanie CaseBox</w:t>
      </w:r>
    </w:p>
    <w:bookmarkStart w:id="9" w:name="część-ii.-rozwiązanie-case-project-api"/>
    <w:p>
      <w:pPr>
        <w:pStyle w:val="Heading2"/>
      </w:pPr>
      <w:r>
        <w:t xml:space="preserve">CZĘŚĆ II. ROZWIĄZANIE (Case Project API)</w:t>
      </w:r>
    </w:p>
    <w:bookmarkEnd w:id="9"/>
    <w:bookmarkStart w:id="10" w:name="podsumowanie-sprawy"/>
    <w:p>
      <w:pPr>
        <w:pStyle w:val="Heading2"/>
      </w:pPr>
      <w:r>
        <w:t xml:space="preserve">Podsumowanie sprawy</w:t>
      </w:r>
    </w:p>
    <w:p>
      <w:pPr>
        <w:pStyle w:val="FirstParagraph"/>
      </w:pPr>
      <w:r>
        <w:t xml:space="preserve">Niniejsza sprawa dotyczy sporu pomiędzy Wynajmującą (Panią A. K., reprezentowaną przez „A. Sp. z o.o.”) a Najemcą (Panem J. N., naszym Klientem) w przedmiocie jednostronnej podwyżki czynszu w ramach umowy najmu okazjonalnego lokalu mieszkalnego nr UM/████/89, zawartej na czas oznaczony od 1 października 2023 r. do 30 września 2025 r. [Źródło 1]. Wynajmująca, powołując się na §4 ust. 1 umowy, zawiadomiła Najemcę o podwyżce czynszu z 2 500,00 zł do 3 200,00 zł miesięcznie, wchodzącej w życie z dniem 1 sierpnia 2025 r., uzasadniając ją wzrostem kosztów utrzymania budynku i stawek podatkowych [Źródło 3]. Kluczowym postanowieniem umownym jest §4 ust. 1, który przewiduje jednostronne prawo Wynajmującej do zmiany czynszu oraz domniemanie akceptacji nowej wysokości czynszu w przypadku braku pisemnego sprzeciwu Najemcy w terminie 14 dni od doręczenia zawiadomienia [Źródło 3]. Najemca doręczył pisemny sprzeciw w dniu 22 czerwca 2025 r., tj. w ciągu 7 dni od doręczenia zawiadomienia, jednak Wynajmująca uznała go za bezskuteczny i podtrzymała swoje stanowisko [Źródło 4]. Wynajmująca zagroziła naliczeniem odsetek i wypowiedzeniem umowy w przypadku braku zapłaty podwyższonego czynszu [Źródło 6]. Zadaniem kancelarii jest ocena skuteczności podwyżki, analiza ryzyk prawnych, przygotowanie strategii obrony interesów Klienta oraz sporządzenie wymaganych pism [Źródło 1, Źródło 5, Źródło 7].</w:t>
      </w:r>
    </w:p>
    <w:bookmarkEnd w:id="10"/>
    <w:bookmarkStart w:id="11" w:name="kluczowe-dane"/>
    <w:p>
      <w:pPr>
        <w:pStyle w:val="Heading2"/>
      </w:pPr>
      <w:r>
        <w:t xml:space="preserve">Kluczowe dane</w:t>
      </w:r>
    </w:p>
    <w:p>
      <w:pPr>
        <w:pStyle w:val="Compact"/>
        <w:numPr>
          <w:ilvl w:val="0"/>
          <w:numId w:val="1001"/>
        </w:numPr>
      </w:pPr>
      <w:r>
        <w:rPr>
          <w:b/>
          <w:bCs/>
        </w:rPr>
        <w:t xml:space="preserve">Wynajmujący:</w:t>
      </w:r>
      <w:r>
        <w:t xml:space="preserve"> </w:t>
      </w:r>
      <w:r>
        <w:t xml:space="preserve">Pani A. K., zam. Warszawa, PESEL ███████████, reprezentowana przez „A. Sp. z o.o.”, Warszawa [Źródło 4].</w:t>
      </w:r>
    </w:p>
    <w:p>
      <w:pPr>
        <w:pStyle w:val="Compact"/>
        <w:numPr>
          <w:ilvl w:val="0"/>
          <w:numId w:val="1001"/>
        </w:numPr>
      </w:pPr>
      <w:r>
        <w:rPr>
          <w:b/>
          <w:bCs/>
        </w:rPr>
        <w:t xml:space="preserve">Najemca (Klient):</w:t>
      </w:r>
      <w:r>
        <w:t xml:space="preserve"> </w:t>
      </w:r>
      <w:r>
        <w:t xml:space="preserve">Pan J. N., lat 34, zam. Warszawa, PESEL ███████████ [Źródło 4].</w:t>
      </w:r>
    </w:p>
    <w:p>
      <w:pPr>
        <w:pStyle w:val="Compact"/>
        <w:numPr>
          <w:ilvl w:val="0"/>
          <w:numId w:val="1001"/>
        </w:numPr>
      </w:pPr>
      <w:r>
        <w:rPr>
          <w:b/>
          <w:bCs/>
        </w:rPr>
        <w:t xml:space="preserve">Przedmiot najmu:</w:t>
      </w:r>
      <w:r>
        <w:t xml:space="preserve"> </w:t>
      </w:r>
      <w:r>
        <w:t xml:space="preserve">Lokal mieszkalny przy Warszawa, o powierzchni użytkowej 48,5 m², wpisany w KW ██/████████/█ [Źródło 3, Źródło 4].</w:t>
      </w:r>
    </w:p>
    <w:p>
      <w:pPr>
        <w:pStyle w:val="Compact"/>
        <w:numPr>
          <w:ilvl w:val="0"/>
          <w:numId w:val="1001"/>
        </w:numPr>
      </w:pPr>
      <w:r>
        <w:rPr>
          <w:b/>
          <w:bCs/>
        </w:rPr>
        <w:t xml:space="preserve">Umowa najmu:</w:t>
      </w:r>
      <w:r>
        <w:t xml:space="preserve"> </w:t>
      </w:r>
      <w:r>
        <w:t xml:space="preserve">Okazjonalnego lokalu mieszkalnego nr UM/████/89, zawarta 28 września 2023 r. [Źródło 3, Źródło 4].</w:t>
      </w:r>
    </w:p>
    <w:p>
      <w:pPr>
        <w:pStyle w:val="Compact"/>
        <w:numPr>
          <w:ilvl w:val="0"/>
          <w:numId w:val="1001"/>
        </w:numPr>
      </w:pPr>
      <w:r>
        <w:rPr>
          <w:b/>
          <w:bCs/>
        </w:rPr>
        <w:t xml:space="preserve">Czas trwania umowy:</w:t>
      </w:r>
      <w:r>
        <w:t xml:space="preserve"> </w:t>
      </w:r>
      <w:r>
        <w:t xml:space="preserve">Od 1 października 2023 r. do 30 września 2025 r. [Źródło 3, Źródło 4].</w:t>
      </w:r>
    </w:p>
    <w:p>
      <w:pPr>
        <w:pStyle w:val="Compact"/>
        <w:numPr>
          <w:ilvl w:val="0"/>
          <w:numId w:val="1001"/>
        </w:numPr>
      </w:pPr>
      <w:r>
        <w:rPr>
          <w:b/>
          <w:bCs/>
        </w:rPr>
        <w:t xml:space="preserve">Dotychczasowy czynsz:</w:t>
      </w:r>
      <w:r>
        <w:t xml:space="preserve"> </w:t>
      </w:r>
      <w:r>
        <w:t xml:space="preserve">2 500,00 zł miesięcznie [Źródło 3, Źródło 4].</w:t>
      </w:r>
    </w:p>
    <w:p>
      <w:pPr>
        <w:pStyle w:val="Compact"/>
        <w:numPr>
          <w:ilvl w:val="0"/>
          <w:numId w:val="1001"/>
        </w:numPr>
      </w:pPr>
      <w:r>
        <w:rPr>
          <w:b/>
          <w:bCs/>
        </w:rPr>
        <w:t xml:space="preserve">Proponowana nowa wysokość czynszu:</w:t>
      </w:r>
      <w:r>
        <w:t xml:space="preserve"> </w:t>
      </w:r>
      <w:r>
        <w:t xml:space="preserve">3 200,00 zł miesięcznie (wzrost o 700,00 zł, tj. 28%) [Źródło 4].</w:t>
      </w:r>
    </w:p>
    <w:p>
      <w:pPr>
        <w:pStyle w:val="Compact"/>
        <w:numPr>
          <w:ilvl w:val="0"/>
          <w:numId w:val="1001"/>
        </w:numPr>
      </w:pPr>
      <w:r>
        <w:rPr>
          <w:b/>
          <w:bCs/>
        </w:rPr>
        <w:t xml:space="preserve">Data zawiadomienia o podwyżce:</w:t>
      </w:r>
      <w:r>
        <w:t xml:space="preserve"> </w:t>
      </w:r>
      <w:r>
        <w:t xml:space="preserve">15 czerwca 2025 r. [Źródło 3, Źródło 4].</w:t>
      </w:r>
    </w:p>
    <w:p>
      <w:pPr>
        <w:pStyle w:val="Compact"/>
        <w:numPr>
          <w:ilvl w:val="0"/>
          <w:numId w:val="1001"/>
        </w:numPr>
      </w:pPr>
      <w:r>
        <w:rPr>
          <w:b/>
          <w:bCs/>
        </w:rPr>
        <w:t xml:space="preserve">Data wejścia w życie podwyżki:</w:t>
      </w:r>
      <w:r>
        <w:t xml:space="preserve"> </w:t>
      </w:r>
      <w:r>
        <w:t xml:space="preserve">1 sierpnia 2025 r. [Źródło 3].</w:t>
      </w:r>
    </w:p>
    <w:p>
      <w:pPr>
        <w:pStyle w:val="Compact"/>
        <w:numPr>
          <w:ilvl w:val="0"/>
          <w:numId w:val="1001"/>
        </w:numPr>
      </w:pPr>
      <w:r>
        <w:rPr>
          <w:b/>
          <w:bCs/>
        </w:rPr>
        <w:t xml:space="preserve">Termin na sprzeciw w umowie (§4 ust. 1):</w:t>
      </w:r>
      <w:r>
        <w:t xml:space="preserve"> </w:t>
      </w:r>
      <w:r>
        <w:t xml:space="preserve">14 dni od doręczenia zawiadomienia [Źródło 3].</w:t>
      </w:r>
    </w:p>
    <w:p>
      <w:pPr>
        <w:pStyle w:val="Compact"/>
        <w:numPr>
          <w:ilvl w:val="0"/>
          <w:numId w:val="1001"/>
        </w:numPr>
      </w:pPr>
      <w:r>
        <w:rPr>
          <w:b/>
          <w:bCs/>
        </w:rPr>
        <w:t xml:space="preserve">Data doręczenia sprzeciwu przez Najemcę:</w:t>
      </w:r>
      <w:r>
        <w:t xml:space="preserve"> </w:t>
      </w:r>
      <w:r>
        <w:t xml:space="preserve">22 czerwca 2025 r. [Źródło 4].</w:t>
      </w:r>
    </w:p>
    <w:p>
      <w:pPr>
        <w:pStyle w:val="Compact"/>
        <w:numPr>
          <w:ilvl w:val="0"/>
          <w:numId w:val="1001"/>
        </w:numPr>
      </w:pPr>
      <w:r>
        <w:rPr>
          <w:b/>
          <w:bCs/>
        </w:rPr>
        <w:t xml:space="preserve">Data odpowiedzi Wynajmującego na sprzeciw:</w:t>
      </w:r>
      <w:r>
        <w:t xml:space="preserve"> </w:t>
      </w:r>
      <w:r>
        <w:t xml:space="preserve">30 czerwca 2025 r. (odrzucenie sprzeciwu) [Źródło 4].</w:t>
      </w:r>
    </w:p>
    <w:p>
      <w:pPr>
        <w:pStyle w:val="Compact"/>
        <w:numPr>
          <w:ilvl w:val="0"/>
          <w:numId w:val="1001"/>
        </w:numPr>
      </w:pPr>
      <w:r>
        <w:rPr>
          <w:b/>
          <w:bCs/>
        </w:rPr>
        <w:t xml:space="preserve">Data wystawienia faktury za sierpień na 3 200,00 zł:</w:t>
      </w:r>
      <w:r>
        <w:t xml:space="preserve"> </w:t>
      </w:r>
      <w:r>
        <w:t xml:space="preserve">10 lipca 2025 r. [Źródło 4].</w:t>
      </w:r>
    </w:p>
    <w:p>
      <w:pPr>
        <w:pStyle w:val="Compact"/>
        <w:numPr>
          <w:ilvl w:val="0"/>
          <w:numId w:val="1001"/>
        </w:numPr>
      </w:pPr>
      <w:r>
        <w:rPr>
          <w:b/>
          <w:bCs/>
        </w:rPr>
        <w:t xml:space="preserve">Data upomnienia od Wynajmującego:</w:t>
      </w:r>
      <w:r>
        <w:t xml:space="preserve"> </w:t>
      </w:r>
      <w:r>
        <w:t xml:space="preserve">25 lipca 2025 r. [Źródło 6].</w:t>
      </w:r>
    </w:p>
    <w:p>
      <w:pPr>
        <w:pStyle w:val="Compact"/>
        <w:numPr>
          <w:ilvl w:val="0"/>
          <w:numId w:val="1001"/>
        </w:numPr>
      </w:pPr>
      <w:r>
        <w:rPr>
          <w:b/>
          <w:bCs/>
        </w:rPr>
        <w:t xml:space="preserve">Rachunek bankowy Wynajmującego:</w:t>
      </w:r>
      <w:r>
        <w:t xml:space="preserve"> </w:t>
      </w:r>
      <w:r>
        <w:t xml:space="preserve">12 3456 0000 0000 0000 0000 [Źródło 3].</w:t>
      </w:r>
    </w:p>
    <w:bookmarkEnd w:id="11"/>
    <w:bookmarkStart w:id="12" w:name="żądania-i-twierdzenia-stron"/>
    <w:p>
      <w:pPr>
        <w:pStyle w:val="Heading2"/>
      </w:pPr>
      <w:r>
        <w:t xml:space="preserve">Żądania i twierdzenia stron</w:t>
      </w:r>
    </w:p>
    <w:p>
      <w:pPr>
        <w:pStyle w:val="FirstParagraph"/>
      </w:pPr>
      <w:r>
        <w:rPr>
          <w:b/>
          <w:bCs/>
        </w:rPr>
        <w:t xml:space="preserve">Żądania i twierdzenia Najemcy (Klienta):</w:t>
      </w:r>
      <w:r>
        <w:t xml:space="preserve"> </w:t>
      </w:r>
      <w:r>
        <w:t xml:space="preserve">Najemca kwestionuje skuteczność jednostronnej podwyżki czynszu [Źródło 4, Źródło 6]. Domaga się utrzymania czynszu na dotychczasowym poziomie 2 500,00 zł [Źródło 6]. Żąda analizy skuteczności podwyżki, porady prawnej, oceny ryzyka wypowiedzenia umowy oraz przygotowania środków procesowych/negocjacyjnych [Źródło 6]. Najemca oczekuje wyjaśnień co do kalkulacji podwyżki, co nie zostało mu przedstawione [Źródło 5].</w:t>
      </w:r>
    </w:p>
    <w:p>
      <w:pPr>
        <w:pStyle w:val="BodyText"/>
      </w:pPr>
      <w:r>
        <w:rPr>
          <w:b/>
          <w:bCs/>
        </w:rPr>
        <w:t xml:space="preserve">Żądania i twierdzenia Wynajmującego:</w:t>
      </w:r>
      <w:r>
        <w:t xml:space="preserve"> </w:t>
      </w:r>
      <w:r>
        <w:t xml:space="preserve">Wynajmujący twierdzi, że zgodnie z §4 ust. 1 umowy ma prawo do jednostronnej zmiany wysokości czynszu po doręczeniu zawiadomienia z 30-dniowym terminem [Źródło 3, Źródło 6]. Argumentuje, że Najemca nie zgłosił sprzeciwu w przewidzianym w umowie terminie 14 dni, wobec czego zmiana jest skutecznie przyjęta („ciche zaakceptowanie”) [Źródło 6]. Wskazuje na konieczność dostosowania opłat do realnych kosztów utrzymania nieruchomości i grozi wypowiedzeniem umowy w razie braku zapłaty podwyższonego czynszu oraz naliczeniem odsetek [Źródło 6].</w:t>
      </w:r>
    </w:p>
    <w:bookmarkEnd w:id="12"/>
    <w:bookmarkStart w:id="17" w:name="opinia-prawna"/>
    <w:p>
      <w:pPr>
        <w:pStyle w:val="Heading2"/>
      </w:pPr>
      <w:r>
        <w:t xml:space="preserve">Opinia prawna</w:t>
      </w:r>
    </w:p>
    <w:bookmarkStart w:id="13" w:name="kwalifikacja-prawna-stanu-faktycznego"/>
    <w:p>
      <w:pPr>
        <w:pStyle w:val="Heading3"/>
      </w:pPr>
      <w:r>
        <w:t xml:space="preserve">Kwalifikacja prawna stanu faktycznego</w:t>
      </w:r>
    </w:p>
    <w:p>
      <w:pPr>
        <w:pStyle w:val="FirstParagraph"/>
      </w:pPr>
      <w:r>
        <w:t xml:space="preserve">Stan faktyczny dotyczy umowy najmu okazjonalnego lokalu mieszkalnego, zawartej pomiędzy A. K. (Wynajmującą) a J. N. (Najemcą) [Źródło 3]. Zgodnie z opisem, Najemca jest osobą fizyczną i umowa dotyczy celów mieszkalnych [Źródło 3]. Wynajmujący prowadzi działalność gospodarczą w zakresie zarządzania nieruchomościami (reprezentacja przez „A. Sp. z o.o.”) [Źródło 4]. Taka kwalifikacja pozwala uznać Pana J. N. za konsumenta w rozumieniu przepisów prawa cywilnego. Umowa najmu okazjonalnego jest szczególnym rodzajem najmu, jednak w zakresie nieuregulowanym w przepisach szczególnych, zastosowanie mają ogólne przepisy Kodeksu cywilnego, w tym przepisy dotyczące ochrony konsumentów. Zgodnie z §6 ust. 3 umowy, w sprawach nieuregulowanych zastosowanie mają przepisy Kodeksu cywilnego (art. 659–692) oraz przepisy o ochronie praw konsumenta [Źródło 4].</w:t>
      </w:r>
    </w:p>
    <w:bookmarkEnd w:id="13"/>
    <w:bookmarkStart w:id="14" w:name="Xfb14db3cab2af5db11c196e441f8416d3dad3d0"/>
    <w:p>
      <w:pPr>
        <w:pStyle w:val="Heading3"/>
      </w:pPr>
      <w:r>
        <w:t xml:space="preserve">Ocena ważności/skuteczności kluczowych postanowień umowy i czynności stron</w:t>
      </w:r>
    </w:p>
    <w:p>
      <w:pPr>
        <w:pStyle w:val="Compact"/>
        <w:numPr>
          <w:ilvl w:val="0"/>
          <w:numId w:val="1002"/>
        </w:numPr>
      </w:pPr>
      <w:r>
        <w:rPr>
          <w:b/>
          <w:bCs/>
        </w:rPr>
        <w:t xml:space="preserve">Postanowienie §4 ust. 1 umowy (klauzula jednostronnej zmiany czynszu):</w:t>
      </w:r>
      <w:r>
        <w:t xml:space="preserve"> </w:t>
      </w:r>
      <w:r>
        <w:t xml:space="preserve">Postanowienie to przewiduje, że Wynajmujący zastrzega sobie prawo do jednostronnej zmiany wysokości czynszu pisemnym zawiadomieniem na co najmniej 30 dni przed proponowaną datą wejścia w życie zmiany, a brak sprzeciwu Najemcy w ciągu 14 dni od doręczenia zawiadomienia oznacza akceptację nowej wysokości czynszu [Źródło 3].</w:t>
      </w:r>
      <w:r>
        <w:t xml:space="preserve"> </w:t>
      </w:r>
      <w:r>
        <w:t xml:space="preserve">W ocenie prawnej, klauzula ta może być uznana za niedozwolone postanowienie umowne (klauzulę abuzywną) w rozumieniu art. 385¹ Kodeksu cywilnego. Przepis ten stanowi, że postanowienia umowy zawieranej z konsumentem nieuzgodnione indywidualnie nie wiążą go, jeżeli kształtują jego prawa i obowiązki w sposób sprzeczny z dobrymi obyczajami, rażąco naruszając jego interesy. Nie dotyczy to postanowień określających główne świadczenia stron, w tym cenę lub wynagrodzenie, jeżeli zostały sformułowane w sposób jednoznaczny.</w:t>
      </w:r>
    </w:p>
    <w:p>
      <w:pPr>
        <w:pStyle w:val="Compact"/>
        <w:numPr>
          <w:ilvl w:val="1"/>
          <w:numId w:val="1003"/>
        </w:numPr>
      </w:pPr>
      <w:r>
        <w:rPr>
          <w:b/>
          <w:bCs/>
        </w:rPr>
        <w:t xml:space="preserve">Jednostronność zmiany:</w:t>
      </w:r>
      <w:r>
        <w:t xml:space="preserve"> </w:t>
      </w:r>
      <w:r>
        <w:t xml:space="preserve">Postanowienie to daje Wynajmującemu wyłączne prawo do zmiany ceny bez wyraźnego i szczegółowego określenia obiektywnych kryteriów jej zmiany. Uzasadnienie ekonomiczne, choć wskazane w umowie, nie jest wystarczająco precyzyjne, aby Najemca mógł zweryfikować jego zasadność. W zawiadomieniu wskazano ogólnikowo na</w:t>
      </w:r>
      <w:r>
        <w:t xml:space="preserve"> </w:t>
      </w:r>
      <w:r>
        <w:t xml:space="preserve">“wzrost kosztów utrzymania budynku”</w:t>
      </w:r>
      <w:r>
        <w:t xml:space="preserve"> </w:t>
      </w:r>
      <w:r>
        <w:t xml:space="preserve">i</w:t>
      </w:r>
      <w:r>
        <w:t xml:space="preserve"> </w:t>
      </w:r>
      <w:r>
        <w:t xml:space="preserve">“podwyżkę stawki podatku od nieruchomości”</w:t>
      </w:r>
      <w:r>
        <w:t xml:space="preserve">, ale bez pełnej kalkulacji [Źródło 3].</w:t>
      </w:r>
    </w:p>
    <w:p>
      <w:pPr>
        <w:pStyle w:val="Compact"/>
        <w:numPr>
          <w:ilvl w:val="1"/>
          <w:numId w:val="1003"/>
        </w:numPr>
      </w:pPr>
      <w:r>
        <w:rPr>
          <w:b/>
          <w:bCs/>
        </w:rPr>
        <w:t xml:space="preserve">Domniemana akceptacja (milcząca zgoda):</w:t>
      </w:r>
      <w:r>
        <w:t xml:space="preserve"> </w:t>
      </w:r>
      <w:r>
        <w:t xml:space="preserve">Klauzula przewidująca, że brak pisemnego sprzeciwu w krótkim terminie (14 dni) jest równoznaczny z akceptacją podwyżki, rażąco narusza interesy konsumenta. Konsument powinien mieć możliwość wyraźnego wyrażenia zgody na zmianę warunków umowy. Takie postanowienie przerzuca na Najemcę ciężar aktywnego działania pod rygorem związania niekorzystną zmianą, co jest sprzeczne z dobrymi obyczajami i zasadą równości stron.</w:t>
      </w:r>
    </w:p>
    <w:p>
      <w:pPr>
        <w:pStyle w:val="Compact"/>
        <w:numPr>
          <w:ilvl w:val="1"/>
          <w:numId w:val="1003"/>
        </w:numPr>
      </w:pPr>
      <w:r>
        <w:rPr>
          <w:b/>
          <w:bCs/>
        </w:rPr>
        <w:t xml:space="preserve">Konsekwencje abuzywności:</w:t>
      </w:r>
      <w:r>
        <w:t xml:space="preserve"> </w:t>
      </w:r>
      <w:r>
        <w:t xml:space="preserve">Jeśli postanowienie zostanie uznane za abuzywne, nie będzie wiążące dla Najemcy. Oznacza to, że Wynajmująca nie mogła skutecznie podwyższyć czynszu na podstawie tej klauzuli. Umowa pozostaje w mocy z dotychczasową wysokością czynszu [Źródło 5].</w:t>
      </w:r>
    </w:p>
    <w:p>
      <w:pPr>
        <w:pStyle w:val="Compact"/>
        <w:numPr>
          <w:ilvl w:val="0"/>
          <w:numId w:val="1002"/>
        </w:numPr>
      </w:pPr>
      <w:r>
        <w:rPr>
          <w:b/>
          <w:bCs/>
        </w:rPr>
        <w:t xml:space="preserve">Postanowienie §5 ust. 1 umowy (forma pisemna pod rygorem nieważności):</w:t>
      </w:r>
      <w:r>
        <w:t xml:space="preserve"> </w:t>
      </w:r>
      <w:r>
        <w:t xml:space="preserve">Postanowienie to stanowi, że wszelkie zmiany umowy wymagają formy pisemnej pod rygorem nieważności [Źródło 3]. Jest to standardowa klauzula, której ważność nie budzi zastrzeżeń. Oznacza to, że wszelkie modyfikacje umowy, w tym zmiany wysokości czynszu, powinny być dokonywane w formie pisemnej. W kontekście klauzuli abuzywnej z §4 ust. 1, ten wymóg formy nie ratuje jej abuzywności, ponieważ problem leży w jednostronnym charakterze zmiany i mechanizmie milczącej zgody, a nie w formie samej w sobie.</w:t>
      </w:r>
    </w:p>
    <w:bookmarkEnd w:id="14"/>
    <w:bookmarkStart w:id="15" w:name="zastosowanie-właściwych-przepisów"/>
    <w:p>
      <w:pPr>
        <w:pStyle w:val="Heading3"/>
      </w:pPr>
      <w:r>
        <w:t xml:space="preserve">Zastosowanie właściwych przepisów</w:t>
      </w:r>
    </w:p>
    <w:p>
      <w:pPr>
        <w:pStyle w:val="Compact"/>
        <w:numPr>
          <w:ilvl w:val="0"/>
          <w:numId w:val="1004"/>
        </w:numPr>
      </w:pPr>
      <w:r>
        <w:rPr>
          <w:b/>
          <w:bCs/>
        </w:rPr>
        <w:t xml:space="preserve">Kodeks cywilny (KC):</w:t>
      </w:r>
    </w:p>
    <w:p>
      <w:pPr>
        <w:pStyle w:val="Compact"/>
        <w:numPr>
          <w:ilvl w:val="1"/>
          <w:numId w:val="1005"/>
        </w:numPr>
      </w:pPr>
      <w:r>
        <w:rPr>
          <w:b/>
          <w:bCs/>
        </w:rPr>
        <w:t xml:space="preserve">Art. 659-692 KC:</w:t>
      </w:r>
      <w:r>
        <w:t xml:space="preserve"> </w:t>
      </w:r>
      <w:r>
        <w:t xml:space="preserve">Ogólne przepisy o umowie najmu. Wskazują, że zmiana istotnych elementów umowy, takich jak czynsz, co do zasady wymaga zgody obu stron lub przewidują szczegółowy tryb jej zmiany.</w:t>
      </w:r>
    </w:p>
    <w:p>
      <w:pPr>
        <w:pStyle w:val="Compact"/>
        <w:numPr>
          <w:ilvl w:val="1"/>
          <w:numId w:val="1005"/>
        </w:numPr>
      </w:pPr>
      <w:r>
        <w:rPr>
          <w:b/>
          <w:bCs/>
        </w:rPr>
        <w:t xml:space="preserve">Art. 385¹ § 1 KC:</w:t>
      </w:r>
      <w:r>
        <w:t xml:space="preserve"> </w:t>
      </w:r>
      <w:r>
        <w:t xml:space="preserve">“Postanowienia umowy zawieranej z konsumentem nieuzgodnione indywidualnie nie wiążą go, jeżeli kształtują jego prawa i obowiązki w sposób sprzeczny z dobrymi obyczajami, rażąco naruszając jego interesy. Nie dotyczy to postanowień określających główne świadczenia stron, w tym cenę lub wynagrodzenie, jeżeli zostały sformułowane w sposób jednoznaczny.”</w:t>
      </w:r>
    </w:p>
    <w:p>
      <w:pPr>
        <w:pStyle w:val="Compact"/>
        <w:numPr>
          <w:ilvl w:val="1"/>
          <w:numId w:val="1005"/>
        </w:numPr>
      </w:pPr>
      <w:r>
        <w:rPr>
          <w:b/>
          <w:bCs/>
        </w:rPr>
        <w:t xml:space="preserve">Art. 385¹ § 2 KC:</w:t>
      </w:r>
      <w:r>
        <w:t xml:space="preserve"> </w:t>
      </w:r>
      <w:r>
        <w:t xml:space="preserve">“Jeżeli postanowienie umowy zgodnie z § 1 nie wiąże konsumenta, strony są związane umową w pozostałym zakresie.”</w:t>
      </w:r>
    </w:p>
    <w:p>
      <w:pPr>
        <w:pStyle w:val="Compact"/>
        <w:numPr>
          <w:ilvl w:val="1"/>
          <w:numId w:val="1005"/>
        </w:numPr>
      </w:pPr>
      <w:r>
        <w:rPr>
          <w:b/>
          <w:bCs/>
        </w:rPr>
        <w:t xml:space="preserve">Art. 385³ pkt 20 i 21 KC:</w:t>
      </w:r>
      <w:r>
        <w:t xml:space="preserve"> </w:t>
      </w:r>
      <w:r>
        <w:t xml:space="preserve">Wskazują, że w razie wątpliwości uważa się, że niedozwolonymi postanowieniami umownymi są te, które uprawniają kontrahenta konsumenta do jednostronnej zmiany umowy bez ważnej przyczyny wskazanej w umowie (pkt 20) lub które zastrzegają dla kontrahenta konsumenta prawo do jednostronnej zmiany ceny lub wynagrodzenia po zawarciu umowy bez przyznania konsumentowi prawa odstąpienia od umowy (pkt 21). W analizowanym przypadku nie ma prawa odstąpienia od umowy.</w:t>
      </w:r>
    </w:p>
    <w:p>
      <w:pPr>
        <w:pStyle w:val="Compact"/>
        <w:numPr>
          <w:ilvl w:val="1"/>
          <w:numId w:val="1005"/>
        </w:numPr>
      </w:pPr>
      <w:r>
        <w:rPr>
          <w:b/>
          <w:bCs/>
        </w:rPr>
        <w:t xml:space="preserve">Art. 72 § 2 KC:</w:t>
      </w:r>
      <w:r>
        <w:t xml:space="preserve"> </w:t>
      </w:r>
      <w:r>
        <w:t xml:space="preserve">Strona, która prowadziła negocjacje z naruszeniem dobrych obyczajów, w szczególności bez zamiaru zawarcia umowy, jest obowiązana do naprawienia szkody, jaką druga strona poniosła przez to, że liczyła na zawarcie umowy. Może mieć zastosowanie posiłkowo do oceny działań Wynajmującej, jeśli forsowanie podwyżki pomimo sprzeciwu zostanie uznane za działanie w złej wierze.</w:t>
      </w:r>
    </w:p>
    <w:p>
      <w:pPr>
        <w:pStyle w:val="Compact"/>
        <w:numPr>
          <w:ilvl w:val="1"/>
          <w:numId w:val="1005"/>
        </w:numPr>
      </w:pPr>
      <w:r>
        <w:rPr>
          <w:b/>
          <w:bCs/>
        </w:rPr>
        <w:t xml:space="preserve">Art. 405 KC:</w:t>
      </w:r>
      <w:r>
        <w:t xml:space="preserve"> </w:t>
      </w:r>
      <w:r>
        <w:t xml:space="preserve">Przepisy o bezpodstawnym wzbogaceniu. Mają zastosowanie, gdyby Najemca zapłacił zawyżony czynsz, a następnie dochodziłby zwrotu nienależnego świadczenia.</w:t>
      </w:r>
    </w:p>
    <w:p>
      <w:pPr>
        <w:pStyle w:val="Compact"/>
        <w:numPr>
          <w:ilvl w:val="1"/>
          <w:numId w:val="1005"/>
        </w:numPr>
      </w:pPr>
      <w:r>
        <w:rPr>
          <w:b/>
          <w:bCs/>
        </w:rPr>
        <w:t xml:space="preserve">Art. 481 § 1 i 2 KC:</w:t>
      </w:r>
      <w:r>
        <w:t xml:space="preserve"> </w:t>
      </w:r>
      <w:r>
        <w:t xml:space="preserve">Przepisy dotyczące odsetek za opóźnienie.</w:t>
      </w:r>
    </w:p>
    <w:p>
      <w:pPr>
        <w:pStyle w:val="Compact"/>
        <w:numPr>
          <w:ilvl w:val="0"/>
          <w:numId w:val="1004"/>
        </w:numPr>
      </w:pPr>
      <w:r>
        <w:rPr>
          <w:b/>
          <w:bCs/>
        </w:rPr>
        <w:t xml:space="preserve">Kodeks postępowania cywilnego (KPC):</w:t>
      </w:r>
    </w:p>
    <w:p>
      <w:pPr>
        <w:pStyle w:val="Compact"/>
        <w:numPr>
          <w:ilvl w:val="1"/>
          <w:numId w:val="1006"/>
        </w:numPr>
      </w:pPr>
      <w:r>
        <w:rPr>
          <w:b/>
          <w:bCs/>
        </w:rPr>
        <w:t xml:space="preserve">Art. 187 KPC:</w:t>
      </w:r>
      <w:r>
        <w:t xml:space="preserve"> </w:t>
      </w:r>
      <w:r>
        <w:t xml:space="preserve">Wymogi pozwu, w tym dokładnie określone żądanie i wskazanie faktów. [KB-Kodeks postępowania cywilnego Art. 187.]</w:t>
      </w:r>
    </w:p>
    <w:p>
      <w:pPr>
        <w:pStyle w:val="Compact"/>
        <w:numPr>
          <w:ilvl w:val="1"/>
          <w:numId w:val="1006"/>
        </w:numPr>
      </w:pPr>
      <w:r>
        <w:rPr>
          <w:b/>
          <w:bCs/>
        </w:rPr>
        <w:t xml:space="preserve">Art. 126 § 1 KPC:</w:t>
      </w:r>
      <w:r>
        <w:t xml:space="preserve"> </w:t>
      </w:r>
      <w:r>
        <w:t xml:space="preserve">Wymogi ogólne pism procesowych. [KB-Kodeks postępowania cywilnego Art. 126. (cz. 1/3)]</w:t>
      </w:r>
    </w:p>
    <w:p>
      <w:pPr>
        <w:pStyle w:val="Compact"/>
        <w:numPr>
          <w:ilvl w:val="1"/>
          <w:numId w:val="1006"/>
        </w:numPr>
      </w:pPr>
      <w:r>
        <w:rPr>
          <w:b/>
          <w:bCs/>
        </w:rPr>
        <w:t xml:space="preserve">Art. 730-757 KPC:</w:t>
      </w:r>
      <w:r>
        <w:t xml:space="preserve"> </w:t>
      </w:r>
      <w:r>
        <w:t xml:space="preserve">Przepisy dotyczące postępowania zabezpieczającego. [KB-Kodeks postępowania cywilnego Art. 736.]</w:t>
      </w:r>
    </w:p>
    <w:p>
      <w:pPr>
        <w:pStyle w:val="Compact"/>
        <w:numPr>
          <w:ilvl w:val="1"/>
          <w:numId w:val="1006"/>
        </w:numPr>
      </w:pPr>
      <w:r>
        <w:rPr>
          <w:b/>
          <w:bCs/>
        </w:rPr>
        <w:t xml:space="preserve">Art. 205³ KPC:</w:t>
      </w:r>
      <w:r>
        <w:t xml:space="preserve"> </w:t>
      </w:r>
      <w:r>
        <w:t xml:space="preserve">Możliwość zarządzenia wymiany pism przygotowawczych i konsekwencje niepowołania twierdzeń i dowodów. [KB-Kodeks postępowania cywilnego Art. 205³.]</w:t>
      </w:r>
    </w:p>
    <w:p>
      <w:pPr>
        <w:pStyle w:val="Compact"/>
        <w:numPr>
          <w:ilvl w:val="0"/>
          <w:numId w:val="1004"/>
        </w:numPr>
      </w:pPr>
      <w:r>
        <w:rPr>
          <w:b/>
          <w:bCs/>
        </w:rPr>
        <w:t xml:space="preserve">Ustawa o ochronie praw konsumenta / Ustawa o ochronie praw lokatorów:</w:t>
      </w:r>
    </w:p>
    <w:p>
      <w:pPr>
        <w:pStyle w:val="Compact"/>
        <w:numPr>
          <w:ilvl w:val="1"/>
          <w:numId w:val="1007"/>
        </w:numPr>
      </w:pPr>
      <w:r>
        <w:t xml:space="preserve">Brak bezpośrednich przepisów w dostarczonym kontekście, które wprost regulowałyby jednostronną podwyżkę czynszu w najmie okazjonalnym z perspektywy konsumenta, poza odesłaniem do przepisów Kodeksu cywilnego w samej umowie [Źródło 4]. W przypadku najmu okazjonalnego, niektóre przepisy Ustawy o ochronie praw lokatorów są wyłączone, jednak ogólne zasady ochrony konsumenta wynikające z KC są wiążące.</w:t>
      </w:r>
    </w:p>
    <w:bookmarkEnd w:id="15"/>
    <w:bookmarkStart w:id="16" w:name="X8c04807058e870aee964474bb51ecbfc01c128b"/>
    <w:p>
      <w:pPr>
        <w:pStyle w:val="Heading3"/>
      </w:pPr>
      <w:r>
        <w:t xml:space="preserve">Ocena ważności i skuteczności klauzuli §4 ust. 1 umowy</w:t>
      </w:r>
    </w:p>
    <w:p>
      <w:pPr>
        <w:pStyle w:val="FirstParagraph"/>
      </w:pPr>
      <w:r>
        <w:t xml:space="preserve">Klauzula §4 ust. 1 umowy, która uprawnia Wynajmującego do jednostronnej zmiany czynszu i wprowadza mechanizm domniemanej akceptacji podwyżki w przypadku braku sprzeciwu Najemcy w ciągu 14 dni [Źródło 3], jest wysoce prawdopodobne, że zostanie uznana za</w:t>
      </w:r>
      <w:r>
        <w:t xml:space="preserve"> </w:t>
      </w:r>
      <w:r>
        <w:rPr>
          <w:b/>
          <w:bCs/>
        </w:rPr>
        <w:t xml:space="preserve">niedozwolone postanowienie umowne (klauzulę abuzywną)</w:t>
      </w:r>
      <w:r>
        <w:t xml:space="preserve"> </w:t>
      </w:r>
      <w:r>
        <w:t xml:space="preserve">na podstawie art. 385¹ Kodeksu cywilnego.</w:t>
      </w:r>
      <w:r>
        <w:t xml:space="preserve"> </w:t>
      </w:r>
      <w:r>
        <w:t xml:space="preserve">*</w:t>
      </w:r>
      <w:r>
        <w:t xml:space="preserve"> </w:t>
      </w:r>
      <w:r>
        <w:rPr>
          <w:b/>
          <w:bCs/>
        </w:rPr>
        <w:t xml:space="preserve">Sprzeczność z dobrymi obyczajami i rażące naruszenie interesów konsumenta:</w:t>
      </w:r>
      <w:r>
        <w:t xml:space="preserve"> </w:t>
      </w:r>
      <w:r>
        <w:t xml:space="preserve">Klauzula ta, poprzez ustanowienie domniemanej zgody, narusza zasadę dobrowolności zmian w umowie i przerzuca cały ciężar aktywności na konsumenta. Konsument jest stroną słabszą, a jego pasywność nie powinna być interpretowana jako akceptacja zmiany istotnego warunku umowy, jakim jest czynsz. Brak jasnych i obiektywnych kryteriów podwyżki czynszu, umożliwiających Najemcy weryfikację zasadności zmiany, dodatkowo wzmacnia ten argument.</w:t>
      </w:r>
      <w:r>
        <w:t xml:space="preserve"> </w:t>
      </w:r>
      <w:r>
        <w:t xml:space="preserve">*</w:t>
      </w:r>
      <w:r>
        <w:t xml:space="preserve"> </w:t>
      </w:r>
      <w:r>
        <w:rPr>
          <w:b/>
          <w:bCs/>
        </w:rPr>
        <w:t xml:space="preserve">Odniesienie do art. 385³ KC:</w:t>
      </w:r>
      <w:r>
        <w:t xml:space="preserve"> </w:t>
      </w:r>
      <w:r>
        <w:t xml:space="preserve">Klauzula ta wpisuje się w katalog przykładowych klauzul abuzywnych zawartych w art. 385³ KC, w szczególności w pkt 20 (uprawnienie kontrahenta konsumenta do jednostronnej zmiany umowy bez ważnej przyczyny wskazanej w umowie) oraz pkt 21 (jednostronna zmiana ceny lub wynagrodzenia po zawarciu umowy bez przyznania konsumentowi prawa odstąpienia).</w:t>
      </w:r>
      <w:r>
        <w:t xml:space="preserve"> </w:t>
      </w:r>
      <w:r>
        <w:t xml:space="preserve">*</w:t>
      </w:r>
      <w:r>
        <w:t xml:space="preserve"> </w:t>
      </w:r>
      <w:r>
        <w:rPr>
          <w:b/>
          <w:bCs/>
        </w:rPr>
        <w:t xml:space="preserve">Brak indywidualnego uzgodnienia:</w:t>
      </w:r>
      <w:r>
        <w:t xml:space="preserve"> </w:t>
      </w:r>
      <w:r>
        <w:t xml:space="preserve">Prawdopodobnie klauzula ta nie była indywidualnie uzgodniona z Najemcą, co jest warunkiem dla uznania jej za abuzywną (art. 385¹ § 1 KC). Zakłada się, że postanowienia umów wzorcowych nie są indywidualnie uzgodnione.</w:t>
      </w:r>
      <w:r>
        <w:t xml:space="preserve"> </w:t>
      </w:r>
      <w:r>
        <w:t xml:space="preserve">*</w:t>
      </w:r>
      <w:r>
        <w:t xml:space="preserve"> </w:t>
      </w:r>
      <w:r>
        <w:rPr>
          <w:b/>
          <w:bCs/>
        </w:rPr>
        <w:t xml:space="preserve">Skutek nieważności:</w:t>
      </w:r>
      <w:r>
        <w:t xml:space="preserve"> </w:t>
      </w:r>
      <w:r>
        <w:t xml:space="preserve">Jeśli klauzula zostanie uznana za abuzywną, nie będzie wiążąca dla Najemcy (konsumenta). Zgodnie z art. 385¹ § 2 KC, strony pozostają związane umową w pozostałym zakresie. Oznacza to, że podwyżka czynszu dokonana na podstawie tej klauzuli jest nieskuteczna, a czynsz pozostaje na dotychczasowym poziomie 2 500,00 zł miesięcznie [Źródło 3].</w:t>
      </w:r>
    </w:p>
    <w:bookmarkEnd w:id="16"/>
    <w:bookmarkEnd w:id="17"/>
    <w:bookmarkStart w:id="24" w:name="Xbe5410fce4dc2a615cc76fe9b108b31f04c4b66"/>
    <w:p>
      <w:pPr>
        <w:pStyle w:val="Heading2"/>
      </w:pPr>
      <w:r>
        <w:t xml:space="preserve">Odpowiedź na wszystkie zagadnienia z części III kazusu</w:t>
      </w:r>
    </w:p>
    <w:bookmarkStart w:id="18" w:name="Xc2287235872311f7753e73cb3c3a6f5ef694401"/>
    <w:p>
      <w:pPr>
        <w:pStyle w:val="Heading3"/>
      </w:pPr>
      <w:r>
        <w:t xml:space="preserve">1. Ważność i skuteczność §4 ust.1 umowy wobec Najemcy jako konsumenta</w:t>
      </w:r>
    </w:p>
    <w:p>
      <w:pPr>
        <w:pStyle w:val="FirstParagraph"/>
      </w:pPr>
      <w:r>
        <w:t xml:space="preserve">Jednostronne postanowienie §4 ust.1 umowy, uprawniające Wynajmującego do zmiany czynszu po zawiadomieniu i domniemanym zaakceptowaniu przez brak sprzeciwu w ciągu 14 dni [Źródło 3],</w:t>
      </w:r>
      <w:r>
        <w:t xml:space="preserve"> </w:t>
      </w:r>
      <w:r>
        <w:rPr>
          <w:b/>
          <w:bCs/>
        </w:rPr>
        <w:t xml:space="preserve">jest wysoce prawdopodobne, że zostanie uznane za nieważne jako niedozwolona klauzula umowna (abuzywna)</w:t>
      </w:r>
      <w:r>
        <w:t xml:space="preserve"> </w:t>
      </w:r>
      <w:r>
        <w:t xml:space="preserve">w stosunku do Najemcy jako konsumenta.</w:t>
      </w:r>
    </w:p>
    <w:p>
      <w:pPr>
        <w:pStyle w:val="BodyText"/>
      </w:pPr>
      <w:r>
        <w:rPr>
          <w:b/>
          <w:bCs/>
        </w:rPr>
        <w:t xml:space="preserve">Uzasadnienie:</w:t>
      </w:r>
      <w:r>
        <w:t xml:space="preserve"> </w:t>
      </w:r>
      <w:r>
        <w:t xml:space="preserve">*</w:t>
      </w:r>
      <w:r>
        <w:t xml:space="preserve"> </w:t>
      </w:r>
      <w:r>
        <w:rPr>
          <w:b/>
          <w:bCs/>
        </w:rPr>
        <w:t xml:space="preserve">Art. 385¹ § 1 Kodeksu cywilnego</w:t>
      </w:r>
      <w:r>
        <w:t xml:space="preserve"> </w:t>
      </w:r>
      <w:r>
        <w:t xml:space="preserve">stanowi, że postanowienia umowy zawieranej z konsumentem nieuzgodnione indywidualnie nie wiążą go, jeżeli kształtują jego prawa i obowiązki w sposób sprzeczny z dobrymi obyczajami, rażąco naruszając jego interesy. Postanowienie §4 ust.1 umowy narusza te zasady, ponieważ:</w:t>
      </w:r>
      <w:r>
        <w:t xml:space="preserve"> </w:t>
      </w:r>
      <w:r>
        <w:t xml:space="preserve">* Daje Wynajmującemu jednostronne prawo do zmiany istotnego elementu umowy (czynszu) bez obiektywnych i precyzyjnych kryteriów, umożliwiających konsumentowi weryfikację zasadności zmiany [Źródło 3]. Brak pełnej kalkulacji podwyżki w zawiadomieniu z dnia 15.06.2025 r. potwierdza ten brak transparentności [Źródło 3, Źródło 5].</w:t>
      </w:r>
      <w:r>
        <w:t xml:space="preserve"> </w:t>
      </w:r>
      <w:r>
        <w:t xml:space="preserve">* Wprowadza mechanizm „milczącej zgody” (domniemana akceptacja przez brak sprzeciwu w ciągu 14 dni) [Źródło 3]. Taki mechanizm przerzuca na konsumenta nadmierny ciężar aktywności i jest sprzeczny z zasadą dobrowolności zmian w umowie.</w:t>
      </w:r>
      <w:r>
        <w:t xml:space="preserve"> </w:t>
      </w:r>
      <w:r>
        <w:t xml:space="preserve">*</w:t>
      </w:r>
      <w:r>
        <w:t xml:space="preserve"> </w:t>
      </w:r>
      <w:r>
        <w:rPr>
          <w:b/>
          <w:bCs/>
        </w:rPr>
        <w:t xml:space="preserve">Art. 385³ pkt 20 i 21 Kodeksu cywilnego</w:t>
      </w:r>
      <w:r>
        <w:t xml:space="preserve"> </w:t>
      </w:r>
      <w:r>
        <w:t xml:space="preserve">wskazują przykładowe klauzule abuzywne:</w:t>
      </w:r>
      <w:r>
        <w:t xml:space="preserve"> </w:t>
      </w:r>
      <w:r>
        <w:t xml:space="preserve">* Pkt 20:</w:t>
      </w:r>
      <w:r>
        <w:t xml:space="preserve"> </w:t>
      </w:r>
      <w:r>
        <w:t xml:space="preserve">“uprawniające kontrahenta konsumenta do jednostronnej zmiany umowy bez ważnej przyczyny wskazanej w umowie”</w:t>
      </w:r>
      <w:r>
        <w:t xml:space="preserve">. Wzrost kosztów utrzymania jest przyczyną ogólną, a nie precyzyjnie określoną w umowie jako</w:t>
      </w:r>
      <w:r>
        <w:t xml:space="preserve"> </w:t>
      </w:r>
      <w:r>
        <w:t xml:space="preserve">“ważna przyczyna”</w:t>
      </w:r>
      <w:r>
        <w:t xml:space="preserve"> </w:t>
      </w:r>
      <w:r>
        <w:t xml:space="preserve">w sposób umożliwiający kontrolę.</w:t>
      </w:r>
      <w:r>
        <w:t xml:space="preserve"> </w:t>
      </w:r>
      <w:r>
        <w:t xml:space="preserve">* Pkt 21:</w:t>
      </w:r>
      <w:r>
        <w:t xml:space="preserve"> </w:t>
      </w:r>
      <w:r>
        <w:t xml:space="preserve">“zastrzegające dla kontrahenta konsumenta prawo do jednostronnej zmiany ceny lub wynagrodzenia po zawarciu umowy bez przyznania konsumentowi prawa odstąpienia od umowy”</w:t>
      </w:r>
      <w:r>
        <w:t xml:space="preserve">. Umowa nie przewiduje prawa odstąpienia dla Najemcy w przypadku podwyżki czynszu [Źródło 3].</w:t>
      </w:r>
      <w:r>
        <w:t xml:space="preserve"> </w:t>
      </w:r>
      <w:r>
        <w:t xml:space="preserve">*</w:t>
      </w:r>
      <w:r>
        <w:t xml:space="preserve"> </w:t>
      </w:r>
      <w:r>
        <w:rPr>
          <w:b/>
          <w:bCs/>
        </w:rPr>
        <w:t xml:space="preserve">Brak orzecznictwa w materiale:</w:t>
      </w:r>
      <w:r>
        <w:t xml:space="preserve"> </w:t>
      </w:r>
      <w:r>
        <w:t xml:space="preserve">W dostarczonym materiale brak jest orzeczeń sądowych (SN/NSA/TSUE) bezpośrednio odnoszących się do abuzywności klauzul podwyżek czynszu w umowach najmu okazjonalnego. Jednakże, orzecznictwo ogólne dotyczące klauzul abuzywnych w umowach konsumenckich konsekwentnie chroni konsumentów przed jednostronnymi zmianami warunków umów, które naruszają zasadę równości stron i dobrych obyczajów.</w:t>
      </w:r>
    </w:p>
    <w:p>
      <w:pPr>
        <w:pStyle w:val="BodyText"/>
      </w:pPr>
      <w:r>
        <w:rPr>
          <w:b/>
          <w:bCs/>
        </w:rPr>
        <w:t xml:space="preserve">Rozstrzygnięcie:</w:t>
      </w:r>
      <w:r>
        <w:t xml:space="preserve"> </w:t>
      </w:r>
      <w:r>
        <w:t xml:space="preserve">Postanowienie §4 ust. 1 umowy jest nieważne i nie wiąże Najemcy.</w:t>
      </w:r>
    </w:p>
    <w:bookmarkEnd w:id="18"/>
    <w:bookmarkStart w:id="19" w:name="Xf688caaf4da386a9bc1ddd93bd5feb42390198d"/>
    <w:p>
      <w:pPr>
        <w:pStyle w:val="Heading3"/>
      </w:pPr>
      <w:r>
        <w:t xml:space="preserve">2. Skuteczność doręczenia zawiadomienia z dnia 15.06.2025 r. i sprzeciwu Najemcy z 22.06.2025 r.</w:t>
      </w:r>
    </w:p>
    <w:p>
      <w:pPr>
        <w:pStyle w:val="Compact"/>
        <w:numPr>
          <w:ilvl w:val="0"/>
          <w:numId w:val="1008"/>
        </w:numPr>
      </w:pPr>
      <w:r>
        <w:rPr>
          <w:b/>
          <w:bCs/>
        </w:rPr>
        <w:t xml:space="preserve">Doręczenie zawiadomienia o podwyżce:</w:t>
      </w:r>
      <w:r>
        <w:t xml:space="preserve"> </w:t>
      </w:r>
      <w:r>
        <w:t xml:space="preserve">Zawiadomienie z dnia 15.06.2025 r. zostało doręczone Najemcy osobiście w tym samym dniu oraz wysłane e-mailem [Źródło 3]. Najemca pokwitował odbiór (mimo braku podpisu w kopii e-mailowej, jest informacja o doręczeniu osobistym i potwierdzeniu odbioru w aktach) [Źródło 3, Źródło 5]. Zatem</w:t>
      </w:r>
      <w:r>
        <w:t xml:space="preserve"> </w:t>
      </w:r>
      <w:r>
        <w:rPr>
          <w:b/>
          <w:bCs/>
        </w:rPr>
        <w:t xml:space="preserve">doręczenie zawiadomienia było skuteczne i nastąpiło w dniu 15 czerwca 2025 r.</w:t>
      </w:r>
      <w:r>
        <w:t xml:space="preserve"> </w:t>
      </w:r>
      <w:r>
        <w:t xml:space="preserve">Od tego dnia biegł 14-dniowy termin na zgłoszenie sprzeciwu, przewidziany w §4 ust. 1 umowy [Źródło 3].</w:t>
      </w:r>
    </w:p>
    <w:p>
      <w:pPr>
        <w:pStyle w:val="Compact"/>
        <w:numPr>
          <w:ilvl w:val="0"/>
          <w:numId w:val="1008"/>
        </w:numPr>
      </w:pPr>
      <w:r>
        <w:rPr>
          <w:b/>
          <w:bCs/>
        </w:rPr>
        <w:t xml:space="preserve">Bieg terminu na sprzeciw:</w:t>
      </w:r>
      <w:r>
        <w:t xml:space="preserve"> </w:t>
      </w:r>
      <w:r>
        <w:t xml:space="preserve">Termin 14 dni na zgłoszenie sprzeciwu upływał w dniu 29 czerwca 2025 r.</w:t>
      </w:r>
    </w:p>
    <w:p>
      <w:pPr>
        <w:pStyle w:val="Compact"/>
        <w:numPr>
          <w:ilvl w:val="0"/>
          <w:numId w:val="1008"/>
        </w:numPr>
      </w:pPr>
      <w:r>
        <w:rPr>
          <w:b/>
          <w:bCs/>
        </w:rPr>
        <w:t xml:space="preserve">Skuteczność sprzeciwu Najemcy:</w:t>
      </w:r>
      <w:r>
        <w:t xml:space="preserve"> </w:t>
      </w:r>
      <w:r>
        <w:t xml:space="preserve">Najemca doręczył Wynajmującemu pisemny sprzeciw w dniu 22 czerwca 2025 r. [Źródło 4]. Od daty doręczenia zawiadomienia (15.06.2025 r.) do daty doręczenia sprzeciwu (22.06.2025 r.) upłynęło 7 dni. Oznacza to, że</w:t>
      </w:r>
      <w:r>
        <w:t xml:space="preserve"> </w:t>
      </w:r>
      <w:r>
        <w:rPr>
          <w:b/>
          <w:bCs/>
        </w:rPr>
        <w:t xml:space="preserve">sprzeciw został złożony w terminie</w:t>
      </w:r>
      <w:r>
        <w:t xml:space="preserve"> </w:t>
      </w:r>
      <w:r>
        <w:t xml:space="preserve">przewidzianym w umowie (§4 ust. 1) [Źródło 3].</w:t>
      </w:r>
    </w:p>
    <w:p>
      <w:pPr>
        <w:pStyle w:val="FirstParagraph"/>
      </w:pPr>
      <w:r>
        <w:rPr>
          <w:b/>
          <w:bCs/>
        </w:rPr>
        <w:t xml:space="preserve">Rozstrzygnięcie:</w:t>
      </w:r>
      <w:r>
        <w:t xml:space="preserve"> </w:t>
      </w:r>
      <w:r>
        <w:t xml:space="preserve">Doręczenie zawiadomienia było skuteczne, a sprzeciw Najemcy z dnia 22 czerwca 2025 r. był skuteczny i złożony w terminie. Twierdzenie Wynajmującego o bezskuteczności sprzeciwu i „cichym zaakceptowaniu” podwyżki jest nieuzasadnione [Źródło 6].</w:t>
      </w:r>
    </w:p>
    <w:bookmarkEnd w:id="19"/>
    <w:bookmarkStart w:id="20" w:name="Xff593d11703b92ee7157f1a3e8e4ed056bea0df"/>
    <w:p>
      <w:pPr>
        <w:pStyle w:val="Heading3"/>
      </w:pPr>
      <w:r>
        <w:t xml:space="preserve">3. Prawne skutki dla stron, jeśli §4 ust.1 jest nieważne jako klauzula abuzywna</w:t>
      </w:r>
    </w:p>
    <w:p>
      <w:pPr>
        <w:pStyle w:val="FirstParagraph"/>
      </w:pPr>
      <w:r>
        <w:t xml:space="preserve">Jeśli §4 ust.1 umowy zostanie uznane za nieważne jako klauzula abuzywna,</w:t>
      </w:r>
      <w:r>
        <w:t xml:space="preserve"> </w:t>
      </w:r>
      <w:r>
        <w:rPr>
          <w:b/>
          <w:bCs/>
        </w:rPr>
        <w:t xml:space="preserve">nie wiąże ono Najemcy</w:t>
      </w:r>
      <w:r>
        <w:t xml:space="preserve"> </w:t>
      </w:r>
      <w:r>
        <w:t xml:space="preserve">(konsumenta) [Źródło 5]. Zgodnie z</w:t>
      </w:r>
      <w:r>
        <w:t xml:space="preserve"> </w:t>
      </w:r>
      <w:r>
        <w:rPr>
          <w:b/>
          <w:bCs/>
        </w:rPr>
        <w:t xml:space="preserve">art. 385¹ § 2 Kodeksu cywilnego</w:t>
      </w:r>
      <w:r>
        <w:t xml:space="preserve">, strony są związane umową w pozostałym zakresie. Oznacza to, że:</w:t>
      </w:r>
      <w:r>
        <w:t xml:space="preserve"> </w:t>
      </w:r>
      <w:r>
        <w:t xml:space="preserve">*</w:t>
      </w:r>
      <w:r>
        <w:t xml:space="preserve"> </w:t>
      </w:r>
      <w:r>
        <w:rPr>
          <w:b/>
          <w:bCs/>
        </w:rPr>
        <w:t xml:space="preserve">Czynsz pozostaje na dotychczasowym poziomie:</w:t>
      </w:r>
      <w:r>
        <w:t xml:space="preserve"> </w:t>
      </w:r>
      <w:r>
        <w:t xml:space="preserve">Wysokość czynszu nadal wynosi 2 500,00 zł miesięcznie [Źródło 3].</w:t>
      </w:r>
      <w:r>
        <w:t xml:space="preserve"> </w:t>
      </w:r>
      <w:r>
        <w:t xml:space="preserve">*</w:t>
      </w:r>
      <w:r>
        <w:t xml:space="preserve"> </w:t>
      </w:r>
      <w:r>
        <w:rPr>
          <w:b/>
          <w:bCs/>
        </w:rPr>
        <w:t xml:space="preserve">Brak jednostronnej podwyżki:</w:t>
      </w:r>
      <w:r>
        <w:t xml:space="preserve"> </w:t>
      </w:r>
      <w:r>
        <w:t xml:space="preserve">Wynajmujący nie może jednostronnie podwyższyć czynszu na podstawie tej klauzuli.</w:t>
      </w:r>
      <w:r>
        <w:t xml:space="preserve"> </w:t>
      </w:r>
      <w:r>
        <w:t xml:space="preserve">*</w:t>
      </w:r>
      <w:r>
        <w:t xml:space="preserve"> </w:t>
      </w:r>
      <w:r>
        <w:rPr>
          <w:b/>
          <w:bCs/>
        </w:rPr>
        <w:t xml:space="preserve">Dopuszczalne drogi zmiany czynszu:</w:t>
      </w:r>
      <w:r>
        <w:t xml:space="preserve"> </w:t>
      </w:r>
      <w:r>
        <w:t xml:space="preserve">*</w:t>
      </w:r>
      <w:r>
        <w:t xml:space="preserve"> </w:t>
      </w:r>
      <w:r>
        <w:rPr>
          <w:b/>
          <w:bCs/>
        </w:rPr>
        <w:t xml:space="preserve">Porozumienie stron/aneks:</w:t>
      </w:r>
      <w:r>
        <w:t xml:space="preserve"> </w:t>
      </w:r>
      <w:r>
        <w:t xml:space="preserve">Jedyną dopuszczalną i skuteczną drogą zmiany wysokości czynszu w umowie na czas oznaczony jest zawarcie aneksu do umowy za zgodą obu stron, w formie pisemnej pod rygorem nieważności, zgodnie z §5 ust. 1 umowy [Źródło 3].</w:t>
      </w:r>
      <w:r>
        <w:t xml:space="preserve"> </w:t>
      </w:r>
      <w:r>
        <w:t xml:space="preserve">*</w:t>
      </w:r>
      <w:r>
        <w:t xml:space="preserve"> </w:t>
      </w:r>
      <w:r>
        <w:rPr>
          <w:b/>
          <w:bCs/>
        </w:rPr>
        <w:t xml:space="preserve">Wypowiedzenie umowy i zawarcie nowej umowy:</w:t>
      </w:r>
      <w:r>
        <w:t xml:space="preserve"> </w:t>
      </w:r>
      <w:r>
        <w:t xml:space="preserve">Umowa najmu okazjonalnego została zawarta na czas oznaczony (do 30.09.2025 r.) [Źródło 3]. Wypowiedzenie takiej umowy jest możliwe tylko w przypadkach wskazanych w ustawie (np. rażące naruszenie postanowień umowy przez najemcę) lub w samej umowie, jeśli takie klauzule są zgodne z prawem. Wynajmujący grozi wypowiedzeniem umowy z przyczyn gospodarczych [Źródło 6], co w przypadku umowy na czas oznaczony może być nieskuteczne, chyba że umowa w sposób prawnie dopuszczalny przewiduje taką możliwość lub zaistnieją okoliczności przewidziane w przepisach.</w:t>
      </w:r>
      <w:r>
        <w:t xml:space="preserve"> </w:t>
      </w:r>
      <w:r>
        <w:t xml:space="preserve">*</w:t>
      </w:r>
      <w:r>
        <w:t xml:space="preserve"> </w:t>
      </w:r>
      <w:r>
        <w:rPr>
          <w:b/>
          <w:bCs/>
        </w:rPr>
        <w:t xml:space="preserve">Waloryzacja czynszu:</w:t>
      </w:r>
      <w:r>
        <w:t xml:space="preserve"> </w:t>
      </w:r>
      <w:r>
        <w:t xml:space="preserve">Jeśli umowa nie zawierała klauzuli waloryzacyjnej, a najem jest na czas oznaczony, Wynajmujący nie ma podstaw do sądowej waloryzacji czynszu.</w:t>
      </w:r>
    </w:p>
    <w:p>
      <w:pPr>
        <w:pStyle w:val="BodyText"/>
      </w:pPr>
      <w:r>
        <w:rPr>
          <w:b/>
          <w:bCs/>
        </w:rPr>
        <w:t xml:space="preserve">Rozstrzygnięcie:</w:t>
      </w:r>
      <w:r>
        <w:t xml:space="preserve"> </w:t>
      </w:r>
      <w:r>
        <w:t xml:space="preserve">Nieważność klauzuli abuzywnej oznacza kontynuację najmu z czynszem w wysokości 2 500,00 zł. Jedyna prawnie skuteczna zmiana czynszu wymaga zgody Najemcy w formie aneksu.</w:t>
      </w:r>
    </w:p>
    <w:bookmarkEnd w:id="20"/>
    <w:bookmarkStart w:id="21" w:name="Xf5b09c2c46bca7cd43a958ddeea5972eaddc45d"/>
    <w:p>
      <w:pPr>
        <w:pStyle w:val="Heading3"/>
      </w:pPr>
      <w:r>
        <w:t xml:space="preserve">4. Terminy i przedawnienie oraz wyliczenie roszczeń i odsetek</w:t>
      </w:r>
    </w:p>
    <w:p>
      <w:pPr>
        <w:pStyle w:val="Compact"/>
        <w:numPr>
          <w:ilvl w:val="0"/>
          <w:numId w:val="1009"/>
        </w:numPr>
      </w:pPr>
      <w:r>
        <w:rPr>
          <w:b/>
          <w:bCs/>
        </w:rPr>
        <w:t xml:space="preserve">Roszczenia Wynajmującego wobec Najemcy:</w:t>
      </w:r>
    </w:p>
    <w:p>
      <w:pPr>
        <w:pStyle w:val="Compact"/>
        <w:numPr>
          <w:ilvl w:val="1"/>
          <w:numId w:val="1010"/>
        </w:numPr>
      </w:pPr>
      <w:r>
        <w:t xml:space="preserve">Wynajmujący żąda zapłaty podwyższonego czynszu (3 200,00 zł) od 1 sierpnia 2025 r., co stanowi różnicę 700,00 zł w stosunku do czynszu umownego [Źródło 3, Źródło 4].</w:t>
      </w:r>
    </w:p>
    <w:p>
      <w:pPr>
        <w:pStyle w:val="Compact"/>
        <w:numPr>
          <w:ilvl w:val="1"/>
          <w:numId w:val="1010"/>
        </w:numPr>
      </w:pPr>
      <w:r>
        <w:t xml:space="preserve">Ponieważ podwyżka jest nieskuteczna (ze względu na abuzywność klauzuli i terminowy sprzeciw Najemcy),</w:t>
      </w:r>
      <w:r>
        <w:t xml:space="preserve"> </w:t>
      </w:r>
      <w:r>
        <w:rPr>
          <w:b/>
          <w:bCs/>
        </w:rPr>
        <w:t xml:space="preserve">roszczenie Wynajmującego o zapłatę dodatkowych 700,00 zł miesięcznie jest bezzasadne</w:t>
      </w:r>
      <w:r>
        <w:t xml:space="preserve">.</w:t>
      </w:r>
    </w:p>
    <w:p>
      <w:pPr>
        <w:pStyle w:val="Compact"/>
        <w:numPr>
          <w:ilvl w:val="1"/>
          <w:numId w:val="1010"/>
        </w:numPr>
      </w:pPr>
      <w:r>
        <w:t xml:space="preserve">W przypadku, gdyby Najemca uiścił czynsz w podwyższonej wysokości, Wynajmujący byłby zobowiązany do zwrotu kwoty 700,00 zł jako świadczenia nienależnego (art. 405 KC).</w:t>
      </w:r>
    </w:p>
    <w:p>
      <w:pPr>
        <w:pStyle w:val="Compact"/>
        <w:numPr>
          <w:ilvl w:val="0"/>
          <w:numId w:val="1009"/>
        </w:numPr>
      </w:pPr>
      <w:r>
        <w:rPr>
          <w:b/>
          <w:bCs/>
        </w:rPr>
        <w:t xml:space="preserve">Odsetki za zwłokę:</w:t>
      </w:r>
    </w:p>
    <w:p>
      <w:pPr>
        <w:pStyle w:val="Compact"/>
        <w:numPr>
          <w:ilvl w:val="1"/>
          <w:numId w:val="1011"/>
        </w:numPr>
      </w:pPr>
      <w:r>
        <w:t xml:space="preserve">Wynajmujący grozi naliczeniem odsetek ustawowych [Źródło 6]. Jeśli podwyżka jest nieskuteczna, Wynajmujący nie ma prawa do naliczania odsetek od kwoty 700,00 zł, ponieważ nie jest to zaległy czynsz.</w:t>
      </w:r>
    </w:p>
    <w:p>
      <w:pPr>
        <w:pStyle w:val="Compact"/>
        <w:numPr>
          <w:ilvl w:val="1"/>
          <w:numId w:val="1011"/>
        </w:numPr>
      </w:pPr>
      <w:r>
        <w:t xml:space="preserve">Gdyby Najemca opóźniał się z zapłatą dotychczasowego czynszu (2 500,00 zł), Wynajmujący mógłby naliczyć odsetki ustawowe za opóźnienie na podstawie art. 481 § 1 i 2 KC.</w:t>
      </w:r>
    </w:p>
    <w:p>
      <w:pPr>
        <w:pStyle w:val="Compact"/>
        <w:numPr>
          <w:ilvl w:val="1"/>
          <w:numId w:val="1011"/>
        </w:numPr>
      </w:pPr>
      <w:r>
        <w:t xml:space="preserve">Jeśli Najemca dochodziłby zwrotu nienależnego świadczenia (700,00 zł), odsetki należne by były od daty wezwania Wynajmującego do zwrotu tej kwoty (ewentualnie od daty zapłaty, w zależności od dobrej/złej wiary Wynajmującego).</w:t>
      </w:r>
    </w:p>
    <w:p>
      <w:pPr>
        <w:pStyle w:val="Compact"/>
        <w:numPr>
          <w:ilvl w:val="0"/>
          <w:numId w:val="1009"/>
        </w:numPr>
      </w:pPr>
      <w:r>
        <w:rPr>
          <w:b/>
          <w:bCs/>
        </w:rPr>
        <w:t xml:space="preserve">Termin przedawnienia roszczeń z tytułu niezapłaconego czynszu:</w:t>
      </w:r>
    </w:p>
    <w:p>
      <w:pPr>
        <w:pStyle w:val="Compact"/>
        <w:numPr>
          <w:ilvl w:val="1"/>
          <w:numId w:val="1012"/>
        </w:numPr>
      </w:pPr>
      <w:r>
        <w:t xml:space="preserve">Roszczenia z tytułu czynszu najmu (świadczenia okresowe) przedawniają się z upływem</w:t>
      </w:r>
      <w:r>
        <w:t xml:space="preserve"> </w:t>
      </w:r>
      <w:r>
        <w:rPr>
          <w:b/>
          <w:bCs/>
        </w:rPr>
        <w:t xml:space="preserve">trzech lat</w:t>
      </w:r>
      <w:r>
        <w:t xml:space="preserve"> </w:t>
      </w:r>
      <w:r>
        <w:t xml:space="preserve">(art. 118 Kodeksu cywilnego). Termin ten biegnie od daty wymagalności każdej miesięcznej płatności czynszu.</w:t>
      </w:r>
    </w:p>
    <w:p>
      <w:pPr>
        <w:pStyle w:val="Compact"/>
        <w:numPr>
          <w:ilvl w:val="0"/>
          <w:numId w:val="1009"/>
        </w:numPr>
      </w:pPr>
      <w:r>
        <w:rPr>
          <w:b/>
          <w:bCs/>
        </w:rPr>
        <w:t xml:space="preserve">Termin przedawnienia roszczeń Najemcy o nienależne świadczenia:</w:t>
      </w:r>
    </w:p>
    <w:p>
      <w:pPr>
        <w:pStyle w:val="Compact"/>
        <w:numPr>
          <w:ilvl w:val="1"/>
          <w:numId w:val="1013"/>
        </w:numPr>
      </w:pPr>
      <w:r>
        <w:t xml:space="preserve">Roszczenia o zwrot nienależnego świadczenia (np. nadpłaconej kwoty czynszu) również przedawniają się z upływem</w:t>
      </w:r>
      <w:r>
        <w:t xml:space="preserve"> </w:t>
      </w:r>
      <w:r>
        <w:rPr>
          <w:b/>
          <w:bCs/>
        </w:rPr>
        <w:t xml:space="preserve">trzech lat</w:t>
      </w:r>
      <w:r>
        <w:t xml:space="preserve"> </w:t>
      </w:r>
      <w:r>
        <w:t xml:space="preserve">(art. 118 Kodeksu cywilnego) od dnia, w którym świadczenie stało się wymagalne (tj. w którym zostało spełnione).</w:t>
      </w:r>
    </w:p>
    <w:bookmarkEnd w:id="21"/>
    <w:bookmarkStart w:id="22" w:name="kwestie-dowodowe"/>
    <w:p>
      <w:pPr>
        <w:pStyle w:val="Heading3"/>
      </w:pPr>
      <w:r>
        <w:t xml:space="preserve">5. Kwestie dowodowe</w:t>
      </w:r>
    </w:p>
    <w:p>
      <w:pPr>
        <w:pStyle w:val="FirstParagraph"/>
      </w:pPr>
      <w:r>
        <w:t xml:space="preserve">Dla wsparcia stanowiska Najemcy należy zgromadzić następujące dokumenty i środki dowodowe:</w:t>
      </w:r>
      <w:r>
        <w:t xml:space="preserve"> </w:t>
      </w:r>
      <w:r>
        <w:t xml:space="preserve">*</w:t>
      </w:r>
      <w:r>
        <w:t xml:space="preserve"> </w:t>
      </w:r>
      <w:r>
        <w:rPr>
          <w:b/>
          <w:bCs/>
        </w:rPr>
        <w:t xml:space="preserve">Umowa najmu nr UM/████/89 z dnia 28.09.2023 r.:</w:t>
      </w:r>
      <w:r>
        <w:t xml:space="preserve"> </w:t>
      </w:r>
      <w:r>
        <w:t xml:space="preserve">Oryginał lub poświadczona kopia umowy [Źródło 3]. To podstawowy dowód na warunki najmu i postanowienia kluczowe.</w:t>
      </w:r>
      <w:r>
        <w:t xml:space="preserve"> </w:t>
      </w:r>
      <w:r>
        <w:t xml:space="preserve">*</w:t>
      </w:r>
      <w:r>
        <w:t xml:space="preserve"> </w:t>
      </w:r>
      <w:r>
        <w:rPr>
          <w:b/>
          <w:bCs/>
        </w:rPr>
        <w:t xml:space="preserve">Zawiadomienie Wynajmującego o zmianie wysokości czynszu z dnia 15.06.2025 r.:</w:t>
      </w:r>
      <w:r>
        <w:t xml:space="preserve"> </w:t>
      </w:r>
      <w:r>
        <w:t xml:space="preserve">Kopia otrzymanego pisma, e-mail z załącznikiem pismo-15-06-2025.pdf, potwierdzenie doręczenia osobistego [Źródło 3, Źródło 5]. Dowodzi daty doręczenia i treści zawiadomienia.</w:t>
      </w:r>
      <w:r>
        <w:t xml:space="preserve"> </w:t>
      </w:r>
      <w:r>
        <w:t xml:space="preserve">*</w:t>
      </w:r>
      <w:r>
        <w:t xml:space="preserve"> </w:t>
      </w:r>
      <w:r>
        <w:rPr>
          <w:b/>
          <w:bCs/>
        </w:rPr>
        <w:t xml:space="preserve">Pisemny sprzeciw Najemcy z 22.06.2025 r.:</w:t>
      </w:r>
      <w:r>
        <w:t xml:space="preserve"> </w:t>
      </w:r>
      <w:r>
        <w:t xml:space="preserve">Kopia pisma oraz potwierdzenie doręczenia listownie (potwierdzenie odbioru) i e-mailem [Źródło 4, Źródło 5]. Dowodzi terminowego i skutecznego wyrażenia sprzeciwu.</w:t>
      </w:r>
      <w:r>
        <w:t xml:space="preserve"> </w:t>
      </w:r>
      <w:r>
        <w:t xml:space="preserve">*</w:t>
      </w:r>
      <w:r>
        <w:t xml:space="preserve"> </w:t>
      </w:r>
      <w:r>
        <w:rPr>
          <w:b/>
          <w:bCs/>
        </w:rPr>
        <w:t xml:space="preserve">Odpowiedź Wynajmującego na sprzeciw z 30.06.2025 r.:</w:t>
      </w:r>
      <w:r>
        <w:t xml:space="preserve"> </w:t>
      </w:r>
      <w:r>
        <w:t xml:space="preserve">Kopia e-maila [Źródło 4]. Dowodzi, że Wynajmujący odrzucił sprzeciw i podtrzymuje swoje stanowisko.</w:t>
      </w:r>
      <w:r>
        <w:t xml:space="preserve"> </w:t>
      </w:r>
      <w:r>
        <w:t xml:space="preserve">*</w:t>
      </w:r>
      <w:r>
        <w:t xml:space="preserve"> </w:t>
      </w:r>
      <w:r>
        <w:rPr>
          <w:b/>
          <w:bCs/>
        </w:rPr>
        <w:t xml:space="preserve">Faktura VAT na miesiąc sierpień 2025 r. na kwotę 3 200,00 zł:</w:t>
      </w:r>
      <w:r>
        <w:t xml:space="preserve"> </w:t>
      </w:r>
      <w:r>
        <w:t xml:space="preserve">Dowód żądania zapłaty podwyższonego czynszu [Źródło 4].</w:t>
      </w:r>
      <w:r>
        <w:t xml:space="preserve"> </w:t>
      </w:r>
      <w:r>
        <w:t xml:space="preserve">*</w:t>
      </w:r>
      <w:r>
        <w:t xml:space="preserve"> </w:t>
      </w:r>
      <w:r>
        <w:rPr>
          <w:b/>
          <w:bCs/>
        </w:rPr>
        <w:t xml:space="preserve">Upomnienie z wezwaniem do zapłaty z 25.07.2025 r.:</w:t>
      </w:r>
      <w:r>
        <w:t xml:space="preserve"> </w:t>
      </w:r>
      <w:r>
        <w:t xml:space="preserve">Dowód groźby wypowiedzenia umowy i naliczenia odsetek [Źródło 6].</w:t>
      </w:r>
      <w:r>
        <w:t xml:space="preserve"> </w:t>
      </w:r>
      <w:r>
        <w:t xml:space="preserve">*</w:t>
      </w:r>
      <w:r>
        <w:t xml:space="preserve"> </w:t>
      </w:r>
      <w:r>
        <w:rPr>
          <w:b/>
          <w:bCs/>
        </w:rPr>
        <w:t xml:space="preserve">Dowody wpłat czynszu:</w:t>
      </w:r>
      <w:r>
        <w:t xml:space="preserve"> </w:t>
      </w:r>
      <w:r>
        <w:t xml:space="preserve">Potwierdzenia przelewów bankowych, w tym za lipiec 2025 r. w wysokości 2 500,00 zł [Źródło 4].</w:t>
      </w:r>
      <w:r>
        <w:t xml:space="preserve"> </w:t>
      </w:r>
      <w:r>
        <w:t xml:space="preserve">*</w:t>
      </w:r>
      <w:r>
        <w:t xml:space="preserve"> </w:t>
      </w:r>
      <w:r>
        <w:rPr>
          <w:b/>
          <w:bCs/>
        </w:rPr>
        <w:t xml:space="preserve">Kalkulacja podwyżki:</w:t>
      </w:r>
      <w:r>
        <w:t xml:space="preserve"> </w:t>
      </w:r>
      <w:r>
        <w:t xml:space="preserve">Najemca powinien zażądać udostępnienia pełnej i szczegółowej kalkulacji podwyżki [Źródło 5]. Choć dla oceny abuzywności klauzuli może nie być kluczowa, pomoże w argumentacji braku transparentności.</w:t>
      </w:r>
      <w:r>
        <w:t xml:space="preserve"> </w:t>
      </w:r>
      <w:r>
        <w:t xml:space="preserve">*</w:t>
      </w:r>
      <w:r>
        <w:t xml:space="preserve"> </w:t>
      </w:r>
      <w:r>
        <w:rPr>
          <w:b/>
          <w:bCs/>
        </w:rPr>
        <w:t xml:space="preserve">Korespondencja:</w:t>
      </w:r>
      <w:r>
        <w:t xml:space="preserve"> </w:t>
      </w:r>
      <w:r>
        <w:t xml:space="preserve">Wszelka inna wymiana korespondencji między stronami.</w:t>
      </w:r>
    </w:p>
    <w:p>
      <w:pPr>
        <w:pStyle w:val="BodyText"/>
      </w:pPr>
      <w:r>
        <w:rPr>
          <w:b/>
          <w:bCs/>
        </w:rPr>
        <w:t xml:space="preserve">Największa wartość procesowa:</w:t>
      </w:r>
      <w:r>
        <w:t xml:space="preserve"> </w:t>
      </w:r>
      <w:r>
        <w:t xml:space="preserve">*</w:t>
      </w:r>
      <w:r>
        <w:t xml:space="preserve"> </w:t>
      </w:r>
      <w:r>
        <w:rPr>
          <w:b/>
          <w:bCs/>
        </w:rPr>
        <w:t xml:space="preserve">Oryginał umowy najmu:</w:t>
      </w:r>
      <w:r>
        <w:t xml:space="preserve"> </w:t>
      </w:r>
      <w:r>
        <w:t xml:space="preserve">Klucz do ustalenia treści postanowień [Źródło 3].</w:t>
      </w:r>
      <w:r>
        <w:t xml:space="preserve"> </w:t>
      </w:r>
      <w:r>
        <w:t xml:space="preserve">*</w:t>
      </w:r>
      <w:r>
        <w:t xml:space="preserve"> </w:t>
      </w:r>
      <w:r>
        <w:rPr>
          <w:b/>
          <w:bCs/>
        </w:rPr>
        <w:t xml:space="preserve">Dowody terminowego i skutecznego doręczenia sprzeciwu Najemcy:</w:t>
      </w:r>
      <w:r>
        <w:t xml:space="preserve"> </w:t>
      </w:r>
      <w:r>
        <w:t xml:space="preserve">Potwierdzenie odbioru pisma przez Wynajmującego jest niezmiernie ważne, gdyż podważa twierdzenia Wynajmującego o</w:t>
      </w:r>
      <w:r>
        <w:t xml:space="preserve"> </w:t>
      </w:r>
      <w:r>
        <w:t xml:space="preserve">“cichym zaakceptowaniu”</w:t>
      </w:r>
      <w:r>
        <w:t xml:space="preserve"> </w:t>
      </w:r>
      <w:r>
        <w:t xml:space="preserve">[Źródło 4, Źródło 5].</w:t>
      </w:r>
    </w:p>
    <w:p>
      <w:pPr>
        <w:pStyle w:val="BodyText"/>
      </w:pPr>
      <w:r>
        <w:rPr>
          <w:b/>
          <w:bCs/>
        </w:rPr>
        <w:t xml:space="preserve">Luki w materiałach klienta:</w:t>
      </w:r>
      <w:r>
        <w:t xml:space="preserve"> </w:t>
      </w:r>
      <w:r>
        <w:t xml:space="preserve">* Brak pełnej, szczegółowej kalkulacji podwyżki czynszu, na którą powołuje się Wynajmujący [Źródło 3, Źródło 5]. Jest to luka, którą należy spróbować uzupełnić poprzez wezwanie przedsądowe.</w:t>
      </w:r>
    </w:p>
    <w:bookmarkEnd w:id="22"/>
    <w:bookmarkStart w:id="23" w:name="ryzyka-procesowe-i-strategie"/>
    <w:p>
      <w:pPr>
        <w:pStyle w:val="Heading3"/>
      </w:pPr>
      <w:r>
        <w:t xml:space="preserve">6. Ryzyka procesowe i strategie</w:t>
      </w:r>
    </w:p>
    <w:p>
      <w:pPr>
        <w:pStyle w:val="FirstParagraph"/>
      </w:pPr>
      <w:r>
        <w:rPr>
          <w:b/>
          <w:bCs/>
        </w:rPr>
        <w:t xml:space="preserve">Alternatywne drogi działania:</w:t>
      </w:r>
      <w:r>
        <w:t xml:space="preserve"> </w:t>
      </w:r>
      <w:r>
        <w:t xml:space="preserve">1.</w:t>
      </w:r>
      <w:r>
        <w:t xml:space="preserve"> </w:t>
      </w:r>
      <w:r>
        <w:rPr>
          <w:b/>
          <w:bCs/>
        </w:rPr>
        <w:t xml:space="preserve">Negocjacje / Postępowanie przedsądowe:</w:t>
      </w:r>
      <w:r>
        <w:t xml:space="preserve"> </w:t>
      </w:r>
      <w:r>
        <w:t xml:space="preserve">* Wysłanie wezwania przedsądowego do Wynajmującego, stanowczo kwestionując skuteczność podwyżki i powołując się na abuzywność klauzuli §4 ust.1 oraz na terminowo złożony sprzeciw. Żądanie utrzymania czynszu na dotychczasowym poziomie 2 500,00 zł oraz przedstawienia pełnej kalkulacji uzasadniającej ewentualne dalsze propozycje [Źródło 6, Źródło 7].</w:t>
      </w:r>
      <w:r>
        <w:t xml:space="preserve"> </w:t>
      </w:r>
      <w:r>
        <w:t xml:space="preserve">* Cel: Rozwiązanie sporu polubownie, uniknięcie kosztów sądowych.</w:t>
      </w:r>
      <w:r>
        <w:t xml:space="preserve"> </w:t>
      </w:r>
      <w:r>
        <w:t xml:space="preserve">2.</w:t>
      </w:r>
      <w:r>
        <w:t xml:space="preserve"> </w:t>
      </w:r>
      <w:r>
        <w:rPr>
          <w:b/>
          <w:bCs/>
        </w:rPr>
        <w:t xml:space="preserve">Pozew o ustalenie braku skuteczności podwyżki:</w:t>
      </w:r>
      <w:r>
        <w:t xml:space="preserve"> </w:t>
      </w:r>
      <w:r>
        <w:t xml:space="preserve">* Wniesienie do Sądu Rejonowego powództwa o ustalenie (na podstawie art. 189 KPC), że jednostronna zmiana czynszu z dnia 15.06.2025 r. jest nieskuteczna, a Wynajmujący nie jest uprawniony do żądania czynszu w wysokości 3 200,00 zł [Źródło 7].</w:t>
      </w:r>
      <w:r>
        <w:t xml:space="preserve"> </w:t>
      </w:r>
      <w:r>
        <w:t xml:space="preserve">* W tym wariancie, Najemca nie płaci podwyższonego czynszu i oczekuje na rozstrzygnięcie sądu.</w:t>
      </w:r>
      <w:r>
        <w:t xml:space="preserve"> </w:t>
      </w:r>
      <w:r>
        <w:t xml:space="preserve">3.</w:t>
      </w:r>
      <w:r>
        <w:t xml:space="preserve"> </w:t>
      </w:r>
      <w:r>
        <w:rPr>
          <w:b/>
          <w:bCs/>
        </w:rPr>
        <w:t xml:space="preserve">Wniosek o zabezpieczenie sądowe:</w:t>
      </w:r>
      <w:r>
        <w:t xml:space="preserve"> </w:t>
      </w:r>
      <w:r>
        <w:t xml:space="preserve">* Złożenie wniosku o zabezpieczenie sądowe (do rozpoznania łącznie z pozwem o ustalenie lub odrębnie), żądając zakazu naliczania i egzekwowania nowej, wyższej stawki czynszu do czasu rozstrzygnięcia meritum sprawy [Źródło 7]. Można też wnioskować o wstrzymanie wypowiedzenia umowy. Zabezpieczenie ma chronić Najemcę przed negatywnymi skutkami działań Wynajmującego.</w:t>
      </w:r>
      <w:r>
        <w:t xml:space="preserve"> </w:t>
      </w:r>
      <w:r>
        <w:t xml:space="preserve">4.</w:t>
      </w:r>
      <w:r>
        <w:t xml:space="preserve"> </w:t>
      </w:r>
      <w:r>
        <w:rPr>
          <w:b/>
          <w:bCs/>
        </w:rPr>
        <w:t xml:space="preserve">Powództwo o zwrot nienależnego świadczenia:</w:t>
      </w:r>
      <w:r>
        <w:t xml:space="preserve"> </w:t>
      </w:r>
      <w:r>
        <w:t xml:space="preserve">* Wariant B z kazusu: Jeśli Najemca zapłaciłby podwyższony czynsz, mógłby wnieść powództwo o zwrot nienależnie pobranego świadczenia (art. 405 KC) [Źródło 7]. Jest to jednak mniej korzystne, ponieważ wiąże się z koniecznością uiszczenia wyższego czynszu.</w:t>
      </w:r>
    </w:p>
    <w:p>
      <w:pPr>
        <w:pStyle w:val="BodyText"/>
      </w:pPr>
      <w:r>
        <w:rPr>
          <w:b/>
          <w:bCs/>
        </w:rPr>
        <w:t xml:space="preserve">Możliwe ryzyka:</w:t>
      </w:r>
      <w:r>
        <w:t xml:space="preserve"> </w:t>
      </w:r>
      <w:r>
        <w:t xml:space="preserve">*</w:t>
      </w:r>
      <w:r>
        <w:t xml:space="preserve"> </w:t>
      </w:r>
      <w:r>
        <w:rPr>
          <w:b/>
          <w:bCs/>
        </w:rPr>
        <w:t xml:space="preserve">Koszty procesu:</w:t>
      </w:r>
      <w:r>
        <w:t xml:space="preserve"> </w:t>
      </w:r>
      <w:r>
        <w:t xml:space="preserve">Wszczęcie postępowania sądowego wiąże się z kosztami sądowymi (opłata od pozwu, koszty zastępstwa procesowego), które w przypadku przegranej poniesie strona przegrywająca.</w:t>
      </w:r>
      <w:r>
        <w:t xml:space="preserve"> </w:t>
      </w:r>
      <w:r>
        <w:t xml:space="preserve">*</w:t>
      </w:r>
      <w:r>
        <w:t xml:space="preserve"> </w:t>
      </w:r>
      <w:r>
        <w:rPr>
          <w:b/>
          <w:bCs/>
        </w:rPr>
        <w:t xml:space="preserve">Ryzyko wypowiedzenia umowy przez Wynajmującego:</w:t>
      </w:r>
      <w:r>
        <w:t xml:space="preserve"> </w:t>
      </w:r>
      <w:r>
        <w:t xml:space="preserve">Wynajmujący już groził wypowiedzeniem umowy z przyczyn gospodarczych [Źródło 6]. Chociaż umowa jest na czas oznaczony (do 30.09.2025 r.) [Źródło 3] i wypowiedzenie jej jest utrudnione, istnieje ryzyko, że Wynajmujący spróbuje to zrobić pod pretekstem niezapłacenia czynszu. Należy to ocenić w kontekście art. 673 § 3 KC (wypowiedzenie najmu na czas oznaczony tylko w wypadkach wskazanych w umowie).</w:t>
      </w:r>
      <w:r>
        <w:t xml:space="preserve"> </w:t>
      </w:r>
      <w:r>
        <w:t xml:space="preserve">*</w:t>
      </w:r>
      <w:r>
        <w:t xml:space="preserve"> </w:t>
      </w:r>
      <w:r>
        <w:rPr>
          <w:b/>
          <w:bCs/>
        </w:rPr>
        <w:t xml:space="preserve">Ryzyko wszczęcia postępowania eksmisyjnego/komorniczego:</w:t>
      </w:r>
      <w:r>
        <w:t xml:space="preserve"> </w:t>
      </w:r>
      <w:r>
        <w:t xml:space="preserve">W przypadku niepłacenia podwyższonego czynszu i uznania przez Wynajmującego, że podwyżka jest skuteczna, może on podjąć próbę dochodzenia tej kwoty na drodze sądowej, a w skrajnym przypadku (po upływie terminu umowy i braku wydania lokalu) - wszcząć postępowanie eksmisyjne.</w:t>
      </w:r>
      <w:r>
        <w:t xml:space="preserve"> </w:t>
      </w:r>
      <w:r>
        <w:t xml:space="preserve">*</w:t>
      </w:r>
      <w:r>
        <w:t xml:space="preserve"> </w:t>
      </w:r>
      <w:r>
        <w:rPr>
          <w:b/>
          <w:bCs/>
        </w:rPr>
        <w:t xml:space="preserve">Brak pełnej kalkulacji:</w:t>
      </w:r>
      <w:r>
        <w:t xml:space="preserve"> </w:t>
      </w:r>
      <w:r>
        <w:t xml:space="preserve">Wynajmujący może odmówić przedstawienia szczegółowej kalkulacji podwyżki [Źródło 3, Źródło 5].</w:t>
      </w:r>
    </w:p>
    <w:p>
      <w:pPr>
        <w:pStyle w:val="BodyText"/>
      </w:pPr>
      <w:r>
        <w:rPr>
          <w:b/>
          <w:bCs/>
        </w:rPr>
        <w:t xml:space="preserve">Propozycja priorytetowych kroków obronnych:</w:t>
      </w:r>
      <w:r>
        <w:t xml:space="preserve"> </w:t>
      </w:r>
      <w:r>
        <w:t xml:space="preserve">1.</w:t>
      </w:r>
      <w:r>
        <w:t xml:space="preserve"> </w:t>
      </w:r>
      <w:r>
        <w:rPr>
          <w:b/>
          <w:bCs/>
        </w:rPr>
        <w:t xml:space="preserve">Bezzwłoczne wysłanie pisemnego wezwania przedsądowego</w:t>
      </w:r>
      <w:r>
        <w:t xml:space="preserve"> </w:t>
      </w:r>
      <w:r>
        <w:t xml:space="preserve">do Wynajmującego, stanowczo kwestionującego skuteczność podwyżki i wzywającego do zaniechania dalszych działań w tym zakresie.</w:t>
      </w:r>
      <w:r>
        <w:t xml:space="preserve"> </w:t>
      </w:r>
      <w:r>
        <w:t xml:space="preserve">2.</w:t>
      </w:r>
      <w:r>
        <w:t xml:space="preserve"> </w:t>
      </w:r>
      <w:r>
        <w:rPr>
          <w:b/>
          <w:bCs/>
        </w:rPr>
        <w:t xml:space="preserve">Niepłacenie podwyższonej kwoty czynszu:</w:t>
      </w:r>
      <w:r>
        <w:t xml:space="preserve"> </w:t>
      </w:r>
      <w:r>
        <w:t xml:space="preserve">Kontynuowanie płatności w dotychczasowej wysokości 2 500,00 zł.</w:t>
      </w:r>
      <w:r>
        <w:t xml:space="preserve"> </w:t>
      </w:r>
      <w:r>
        <w:t xml:space="preserve">3.</w:t>
      </w:r>
      <w:r>
        <w:t xml:space="preserve"> </w:t>
      </w:r>
      <w:r>
        <w:rPr>
          <w:b/>
          <w:bCs/>
        </w:rPr>
        <w:t xml:space="preserve">Przygotowanie i złożenie pozwu o ustalenie braku skuteczności podwyżki czynszu wraz z wnioskiem o zabezpieczenie sądowe</w:t>
      </w:r>
      <w:r>
        <w:t xml:space="preserve">, mającego na celu wstrzymanie żądania podwyższonego czynszu na czas trwania postępowania sądowego.</w:t>
      </w:r>
      <w:r>
        <w:t xml:space="preserve"> </w:t>
      </w:r>
      <w:r>
        <w:t xml:space="preserve">4.</w:t>
      </w:r>
      <w:r>
        <w:t xml:space="preserve"> </w:t>
      </w:r>
      <w:r>
        <w:rPr>
          <w:b/>
          <w:bCs/>
        </w:rPr>
        <w:t xml:space="preserve">Zabezpieczenie wszelkiej korespondencji</w:t>
      </w:r>
      <w:r>
        <w:t xml:space="preserve"> </w:t>
      </w:r>
      <w:r>
        <w:t xml:space="preserve">i dowodów wpłat [Źródło 5].</w:t>
      </w:r>
    </w:p>
    <w:bookmarkEnd w:id="23"/>
    <w:bookmarkEnd w:id="24"/>
    <w:bookmarkStart w:id="25" w:name="wyliczenie-roszczeń"/>
    <w:p>
      <w:pPr>
        <w:pStyle w:val="Heading2"/>
      </w:pPr>
      <w:r>
        <w:t xml:space="preserve">Wyliczenie roszczeń</w:t>
      </w:r>
    </w:p>
    <w:p>
      <w:pPr>
        <w:pStyle w:val="Compact"/>
        <w:numPr>
          <w:ilvl w:val="0"/>
          <w:numId w:val="1014"/>
        </w:numPr>
      </w:pPr>
      <w:r>
        <w:rPr>
          <w:b/>
          <w:bCs/>
        </w:rPr>
        <w:t xml:space="preserve">Roszczenia Wynajmującego:</w:t>
      </w:r>
    </w:p>
    <w:p>
      <w:pPr>
        <w:pStyle w:val="Compact"/>
        <w:numPr>
          <w:ilvl w:val="1"/>
          <w:numId w:val="1015"/>
        </w:numPr>
      </w:pPr>
      <w:r>
        <w:t xml:space="preserve">Różnica w czynszu za sierpień 2025 r.: 3 200,00 zł (nowa stawka) - 2 500,00 zł (dotychczasowa stawka) =</w:t>
      </w:r>
      <w:r>
        <w:t xml:space="preserve"> </w:t>
      </w:r>
      <w:r>
        <w:rPr>
          <w:b/>
          <w:bCs/>
        </w:rPr>
        <w:t xml:space="preserve">700,00 zł</w:t>
      </w:r>
      <w:r>
        <w:t xml:space="preserve"> </w:t>
      </w:r>
      <w:r>
        <w:t xml:space="preserve">[Źródło 3].</w:t>
      </w:r>
    </w:p>
    <w:p>
      <w:pPr>
        <w:pStyle w:val="Compact"/>
        <w:numPr>
          <w:ilvl w:val="1"/>
          <w:numId w:val="1015"/>
        </w:numPr>
      </w:pPr>
      <w:r>
        <w:t xml:space="preserve">Wobec nieskuteczności podwyżki, roszczenie Wynajmującego o tę kwotę jest</w:t>
      </w:r>
      <w:r>
        <w:t xml:space="preserve"> </w:t>
      </w:r>
      <w:r>
        <w:rPr>
          <w:b/>
          <w:bCs/>
        </w:rPr>
        <w:t xml:space="preserve">bezzasadne</w:t>
      </w:r>
      <w:r>
        <w:t xml:space="preserve">.</w:t>
      </w:r>
    </w:p>
    <w:p>
      <w:pPr>
        <w:pStyle w:val="Compact"/>
        <w:numPr>
          <w:ilvl w:val="0"/>
          <w:numId w:val="1014"/>
        </w:numPr>
      </w:pPr>
      <w:r>
        <w:rPr>
          <w:b/>
          <w:bCs/>
        </w:rPr>
        <w:t xml:space="preserve">Roszczenia Najemcy (potencjalne):</w:t>
      </w:r>
    </w:p>
    <w:p>
      <w:pPr>
        <w:pStyle w:val="Compact"/>
        <w:numPr>
          <w:ilvl w:val="1"/>
          <w:numId w:val="1016"/>
        </w:numPr>
      </w:pPr>
      <w:r>
        <w:t xml:space="preserve">W przypadku, gdyby Najemca zapłacił Wynajmującemu podwyższony czynsz (3 200,00 zł), przysługiwałoby mu roszczenie o zwrot nienależnego świadczenia w wysokości</w:t>
      </w:r>
      <w:r>
        <w:t xml:space="preserve"> </w:t>
      </w:r>
      <w:r>
        <w:rPr>
          <w:b/>
          <w:bCs/>
        </w:rPr>
        <w:t xml:space="preserve">700,00 zł</w:t>
      </w:r>
      <w:r>
        <w:t xml:space="preserve"> </w:t>
      </w:r>
      <w:r>
        <w:t xml:space="preserve">za każdy miesiąc, w którym zapłacił wyższą kwotę (art. 405 Kodeksu cywilnego).</w:t>
      </w:r>
    </w:p>
    <w:p>
      <w:pPr>
        <w:pStyle w:val="Compact"/>
        <w:numPr>
          <w:ilvl w:val="0"/>
          <w:numId w:val="1014"/>
        </w:numPr>
      </w:pPr>
      <w:r>
        <w:rPr>
          <w:b/>
          <w:bCs/>
        </w:rPr>
        <w:t xml:space="preserve">Odsetki:</w:t>
      </w:r>
    </w:p>
    <w:p>
      <w:pPr>
        <w:pStyle w:val="Compact"/>
        <w:numPr>
          <w:ilvl w:val="1"/>
          <w:numId w:val="1017"/>
        </w:numPr>
      </w:pPr>
      <w:r>
        <w:rPr>
          <w:b/>
          <w:bCs/>
        </w:rPr>
        <w:t xml:space="preserve">Dla Wynajmującego:</w:t>
      </w:r>
      <w:r>
        <w:t xml:space="preserve"> </w:t>
      </w:r>
      <w:r>
        <w:t xml:space="preserve">Brak podstaw do naliczania odsetek od kwoty 700,00 zł, ponieważ roszczenie o tę kwotę jest bezzasadne. Odsetki ustawowe za opóźnienie (art. 481 § 1 i 2 KC) mogłyby być naliczone jedynie od niezapłaconej w terminie kwoty 2 500,00 zł, co jednak nie ma miejsca w sytuacji Najemcy, który regularnie opłacał czynsz [Źródło 4].</w:t>
      </w:r>
    </w:p>
    <w:p>
      <w:pPr>
        <w:pStyle w:val="Compact"/>
        <w:numPr>
          <w:ilvl w:val="1"/>
          <w:numId w:val="1017"/>
        </w:numPr>
      </w:pPr>
      <w:r>
        <w:rPr>
          <w:b/>
          <w:bCs/>
        </w:rPr>
        <w:t xml:space="preserve">Dla Najemcy:</w:t>
      </w:r>
      <w:r>
        <w:t xml:space="preserve"> </w:t>
      </w:r>
      <w:r>
        <w:t xml:space="preserve">Jeśli Najemca dochodziłby zwrotu nienależnego świadczenia w kwocie 700,00 zł, odsetki ustawowe za opóźnienie należałyby się od Wynajmującego od dnia wezwania do zapłaty (lub od daty spełnienia świadczenia, jeśli Wynajmujący był w złej wierze, co jest prawdopodobne ze względu na świadomość sprzeciwu).</w:t>
      </w:r>
    </w:p>
    <w:bookmarkEnd w:id="25"/>
    <w:bookmarkStart w:id="26" w:name="rejestr-ryzyk-i-szans"/>
    <w:p>
      <w:pPr>
        <w:pStyle w:val="Heading2"/>
      </w:pPr>
      <w:r>
        <w:t xml:space="preserve">Rejestr ryzyk i szans</w:t>
      </w:r>
    </w:p>
    <w:p>
      <w:pPr>
        <w:pStyle w:val="FirstParagraph"/>
      </w:pPr>
      <w:r>
        <w:rPr>
          <w:b/>
          <w:bCs/>
        </w:rPr>
        <w:t xml:space="preserve">Mocne strony (szanse) Najemcy:</w:t>
      </w:r>
      <w:r>
        <w:t xml:space="preserve"> </w:t>
      </w:r>
      <w:r>
        <w:t xml:space="preserve">*</w:t>
      </w:r>
      <w:r>
        <w:t xml:space="preserve"> </w:t>
      </w:r>
      <w:r>
        <w:rPr>
          <w:b/>
          <w:bCs/>
        </w:rPr>
        <w:t xml:space="preserve">Status konsumenta:</w:t>
      </w:r>
      <w:r>
        <w:t xml:space="preserve"> </w:t>
      </w:r>
      <w:r>
        <w:t xml:space="preserve">Najemca jako konsument jest chroniony przepisami o klauzulach abuzywnych (art. 385¹-³ KC), co jest silnym argumentem na rzecz nieskuteczności postanowienia §4 ust.1 umowy [Źródło 4, Źródło 5].</w:t>
      </w:r>
      <w:r>
        <w:t xml:space="preserve"> </w:t>
      </w:r>
      <w:r>
        <w:t xml:space="preserve">*</w:t>
      </w:r>
      <w:r>
        <w:t xml:space="preserve"> </w:t>
      </w:r>
      <w:r>
        <w:rPr>
          <w:b/>
          <w:bCs/>
        </w:rPr>
        <w:t xml:space="preserve">Terminowy sprzeciw:</w:t>
      </w:r>
      <w:r>
        <w:t xml:space="preserve"> </w:t>
      </w:r>
      <w:r>
        <w:t xml:space="preserve">Najemca złożył pisemny sprzeciw w wymaganym terminie 14 dni od doręczenia zawiadomienia o podwyżce, co podważa argumentację Wynajmującego o</w:t>
      </w:r>
      <w:r>
        <w:t xml:space="preserve"> </w:t>
      </w:r>
      <w:r>
        <w:t xml:space="preserve">“cichym zaakceptowaniu”</w:t>
      </w:r>
      <w:r>
        <w:t xml:space="preserve"> </w:t>
      </w:r>
      <w:r>
        <w:t xml:space="preserve">[Źródło 4].</w:t>
      </w:r>
      <w:r>
        <w:t xml:space="preserve"> </w:t>
      </w:r>
      <w:r>
        <w:t xml:space="preserve">*</w:t>
      </w:r>
      <w:r>
        <w:t xml:space="preserve"> </w:t>
      </w:r>
      <w:r>
        <w:rPr>
          <w:b/>
          <w:bCs/>
        </w:rPr>
        <w:t xml:space="preserve">Brak transparentności kalkulacji:</w:t>
      </w:r>
      <w:r>
        <w:t xml:space="preserve"> </w:t>
      </w:r>
      <w:r>
        <w:t xml:space="preserve">Wynajmujący nie przedstawił pełnej kalkulacji uzasadniającej podwyżkę [Źródło 3, Źródło 5], co dodatkowo osłabia jego pozycję.</w:t>
      </w:r>
      <w:r>
        <w:t xml:space="preserve"> </w:t>
      </w:r>
      <w:r>
        <w:t xml:space="preserve">*</w:t>
      </w:r>
      <w:r>
        <w:t xml:space="preserve"> </w:t>
      </w:r>
      <w:r>
        <w:rPr>
          <w:b/>
          <w:bCs/>
        </w:rPr>
        <w:t xml:space="preserve">Umowa na czas oznaczony:</w:t>
      </w:r>
      <w:r>
        <w:t xml:space="preserve"> </w:t>
      </w:r>
      <w:r>
        <w:t xml:space="preserve">Ogranicza Wynajmującemu możliwość wypowiedzenia umowy bez konkretnej podstawy prawnej.</w:t>
      </w:r>
    </w:p>
    <w:p>
      <w:pPr>
        <w:pStyle w:val="BodyText"/>
      </w:pPr>
      <w:r>
        <w:rPr>
          <w:b/>
          <w:bCs/>
        </w:rPr>
        <w:t xml:space="preserve">Słabe strony Najemcy:</w:t>
      </w:r>
      <w:r>
        <w:t xml:space="preserve"> </w:t>
      </w:r>
      <w:r>
        <w:t xml:space="preserve">*</w:t>
      </w:r>
      <w:r>
        <w:t xml:space="preserve"> </w:t>
      </w:r>
      <w:r>
        <w:rPr>
          <w:b/>
          <w:bCs/>
        </w:rPr>
        <w:t xml:space="preserve">Brak kalkulacji podwyżki:</w:t>
      </w:r>
      <w:r>
        <w:t xml:space="preserve"> </w:t>
      </w:r>
      <w:r>
        <w:t xml:space="preserve">Chociaż działa to na niekorzyść Wynajmującego, to brak tej kalkulacji może utrudnić ewentualne negocjacje o obniżenie podwyżki do uzasadnionego poziomu (choć główna strategia to kwestionowanie jej w ogóle).</w:t>
      </w:r>
    </w:p>
    <w:p>
      <w:pPr>
        <w:pStyle w:val="BodyText"/>
      </w:pPr>
      <w:r>
        <w:rPr>
          <w:b/>
          <w:bCs/>
        </w:rPr>
        <w:t xml:space="preserve">Kontrargumenty strony przeciwnej (Wynajmującego):</w:t>
      </w:r>
      <w:r>
        <w:t xml:space="preserve"> </w:t>
      </w:r>
      <w:r>
        <w:t xml:space="preserve">*</w:t>
      </w:r>
      <w:r>
        <w:t xml:space="preserve"> </w:t>
      </w:r>
      <w:r>
        <w:rPr>
          <w:b/>
          <w:bCs/>
        </w:rPr>
        <w:t xml:space="preserve">Powołanie na §4 ust. 1 umowy:</w:t>
      </w:r>
      <w:r>
        <w:t xml:space="preserve"> </w:t>
      </w:r>
      <w:r>
        <w:t xml:space="preserve">Wynajmujący będzie argumentował, że umowa wyraźnie przewidywała możliwość jednostronnej zmiany czynszu i mechanizm jej akceptacji [Źródło 6].</w:t>
      </w:r>
      <w:r>
        <w:t xml:space="preserve"> </w:t>
      </w:r>
      <w:r>
        <w:t xml:space="preserve">*</w:t>
      </w:r>
      <w:r>
        <w:t xml:space="preserve"> </w:t>
      </w:r>
      <w:r>
        <w:rPr>
          <w:b/>
          <w:bCs/>
        </w:rPr>
        <w:t xml:space="preserve">Błędna interpretacja terminu sprzeciwu:</w:t>
      </w:r>
      <w:r>
        <w:t xml:space="preserve"> </w:t>
      </w:r>
      <w:r>
        <w:t xml:space="preserve">Wynajmujący już teraz błędnie twierdzi, że sprzeciw był bezskuteczny, sugerując brak sprzeciwu w terminie [Źródło 6].</w:t>
      </w:r>
      <w:r>
        <w:t xml:space="preserve"> </w:t>
      </w:r>
      <w:r>
        <w:t xml:space="preserve">*</w:t>
      </w:r>
      <w:r>
        <w:t xml:space="preserve"> </w:t>
      </w:r>
      <w:r>
        <w:rPr>
          <w:b/>
          <w:bCs/>
        </w:rPr>
        <w:t xml:space="preserve">Wzrost kosztów utrzymania:</w:t>
      </w:r>
      <w:r>
        <w:t xml:space="preserve"> </w:t>
      </w:r>
      <w:r>
        <w:t xml:space="preserve">Wynajmujący będzie powoływał się na obiektywny wzrost kosztów jako uzasadnienie podwyżki [Źródło 3, Źródło 6].</w:t>
      </w:r>
    </w:p>
    <w:p>
      <w:pPr>
        <w:pStyle w:val="BodyText"/>
      </w:pPr>
      <w:r>
        <w:rPr>
          <w:b/>
          <w:bCs/>
        </w:rPr>
        <w:t xml:space="preserve">Rekomendowana strategia:</w:t>
      </w:r>
      <w:r>
        <w:t xml:space="preserve"> </w:t>
      </w:r>
      <w:r>
        <w:t xml:space="preserve">Strategia powinna być dwutorowa:</w:t>
      </w:r>
      <w:r>
        <w:t xml:space="preserve"> </w:t>
      </w:r>
      <w:r>
        <w:t xml:space="preserve">1.</w:t>
      </w:r>
      <w:r>
        <w:t xml:space="preserve"> </w:t>
      </w:r>
      <w:r>
        <w:rPr>
          <w:b/>
          <w:bCs/>
        </w:rPr>
        <w:t xml:space="preserve">Negocjacje / Postępowanie przedsądowe:</w:t>
      </w:r>
      <w:r>
        <w:t xml:space="preserve"> </w:t>
      </w:r>
      <w:r>
        <w:t xml:space="preserve">Rozpoczęcie od wysłania</w:t>
      </w:r>
      <w:r>
        <w:t xml:space="preserve"> </w:t>
      </w:r>
      <w:r>
        <w:rPr>
          <w:b/>
          <w:bCs/>
        </w:rPr>
        <w:t xml:space="preserve">stanowczego wezwania przedsądowego</w:t>
      </w:r>
      <w:r>
        <w:t xml:space="preserve">, w którym prawnie uargumentowana zostanie nieskuteczność podwyżki czynszu. Powinno to wskazać na abuzywność klauzuli §4 ust.1 i terminowy sprzeciw Najemcy, wzywając Wynajmującego do utrzymania dotychczasowego czynszu. Jest to szansa na uniknięcie postępowania sądowego, jeśli Wynajmujący oceni ryzyka prawne.</w:t>
      </w:r>
      <w:r>
        <w:t xml:space="preserve"> </w:t>
      </w:r>
      <w:r>
        <w:t xml:space="preserve">2.</w:t>
      </w:r>
      <w:r>
        <w:t xml:space="preserve"> </w:t>
      </w:r>
      <w:r>
        <w:rPr>
          <w:b/>
          <w:bCs/>
        </w:rPr>
        <w:t xml:space="preserve">Postępowanie sądowe:</w:t>
      </w:r>
      <w:r>
        <w:t xml:space="preserve"> </w:t>
      </w:r>
      <w:r>
        <w:t xml:space="preserve">W przypadku braku porozumienia w postępowaniu przedsądowym, niezwłoczne wniesienie</w:t>
      </w:r>
      <w:r>
        <w:t xml:space="preserve"> </w:t>
      </w:r>
      <w:r>
        <w:rPr>
          <w:b/>
          <w:bCs/>
        </w:rPr>
        <w:t xml:space="preserve">pozwu o ustalenie braku skuteczności podwyżki czynszu</w:t>
      </w:r>
      <w:r>
        <w:t xml:space="preserve"> </w:t>
      </w:r>
      <w:r>
        <w:t xml:space="preserve">do Sądu Rejonowego. Pozew powinien być połączony z</w:t>
      </w:r>
      <w:r>
        <w:t xml:space="preserve"> </w:t>
      </w:r>
      <w:r>
        <w:rPr>
          <w:b/>
          <w:bCs/>
        </w:rPr>
        <w:t xml:space="preserve">wnioskiem o zabezpieczenie sądowe</w:t>
      </w:r>
      <w:r>
        <w:t xml:space="preserve">, aby ochronić Najemcę przed ewentualnymi roszczeniami Wynajmującego w trakcie trwania procesu.</w:t>
      </w:r>
      <w:r>
        <w:t xml:space="preserve"> </w:t>
      </w:r>
      <w:r>
        <w:t xml:space="preserve">*</w:t>
      </w:r>
      <w:r>
        <w:t xml:space="preserve"> </w:t>
      </w:r>
      <w:r>
        <w:rPr>
          <w:b/>
          <w:bCs/>
        </w:rPr>
        <w:t xml:space="preserve">Organ formalnie właściwy:</w:t>
      </w:r>
      <w:r>
        <w:t xml:space="preserve"> </w:t>
      </w:r>
      <w:r>
        <w:t xml:space="preserve">Sąd Rejonowy (Wydział Cywilny) właściwy ze względu na miejsce położenia nieruchomości lub miejsce zamieszkania pozwanego.</w:t>
      </w:r>
    </w:p>
    <w:bookmarkEnd w:id="26"/>
    <w:bookmarkStart w:id="27" w:name="instrukcja-kolejnych-kroków"/>
    <w:p>
      <w:pPr>
        <w:pStyle w:val="Heading2"/>
      </w:pPr>
      <w:r>
        <w:t xml:space="preserve">Instrukcja kolejnych kroków</w:t>
      </w:r>
    </w:p>
    <w:p>
      <w:pPr>
        <w:pStyle w:val="Compact"/>
        <w:numPr>
          <w:ilvl w:val="0"/>
          <w:numId w:val="1018"/>
        </w:numPr>
      </w:pPr>
      <w:r>
        <w:rPr>
          <w:b/>
          <w:bCs/>
        </w:rPr>
        <w:t xml:space="preserve">Analiza i zgromadzenie dokumentacji (Pilne):</w:t>
      </w:r>
    </w:p>
    <w:p>
      <w:pPr>
        <w:pStyle w:val="Compact"/>
        <w:numPr>
          <w:ilvl w:val="1"/>
          <w:numId w:val="1019"/>
        </w:numPr>
      </w:pPr>
      <w:r>
        <w:t xml:space="preserve">Weryfikacja posiadanych dokumentów (umowa najmu, cała korespondencja: zawiadomienie o podwyżce, sprzeciw Najemcy, odpowiedź Wynajmującego, faktury, dowody wpłat czynszu) [Źródło 5]. Upewnienie się, że wszystkie oryginały lub poświadczone kopie są dostępne.</w:t>
      </w:r>
    </w:p>
    <w:p>
      <w:pPr>
        <w:pStyle w:val="Compact"/>
        <w:numPr>
          <w:ilvl w:val="1"/>
          <w:numId w:val="1019"/>
        </w:numPr>
      </w:pPr>
      <w:r>
        <w:t xml:space="preserve">Ewentualne pozyskanie od klienta brakujących dokumentów, zwłaszcza dowodów doręczeń.</w:t>
      </w:r>
    </w:p>
    <w:p>
      <w:pPr>
        <w:pStyle w:val="Compact"/>
        <w:numPr>
          <w:ilvl w:val="1"/>
          <w:numId w:val="1019"/>
        </w:numPr>
      </w:pPr>
      <w:r>
        <w:t xml:space="preserve">Weryfikacja Księgi Wieczystej lokalu.</w:t>
      </w:r>
    </w:p>
    <w:p>
      <w:pPr>
        <w:pStyle w:val="Compact"/>
        <w:numPr>
          <w:ilvl w:val="0"/>
          <w:numId w:val="1018"/>
        </w:numPr>
      </w:pPr>
      <w:r>
        <w:rPr>
          <w:b/>
          <w:bCs/>
        </w:rPr>
        <w:t xml:space="preserve">Przygotowanie i wysłanie Wezwania Przedsądowego (Termin: Niezwłocznie, np. do 29.07.2025 r.):</w:t>
      </w:r>
    </w:p>
    <w:p>
      <w:pPr>
        <w:pStyle w:val="Compact"/>
        <w:numPr>
          <w:ilvl w:val="1"/>
          <w:numId w:val="1020"/>
        </w:numPr>
      </w:pPr>
      <w:r>
        <w:t xml:space="preserve">Opracowanie pisemnego wezwania przedsądowego do Wynajmującego, kwestionującego skuteczność podwyżki czynszu.</w:t>
      </w:r>
    </w:p>
    <w:p>
      <w:pPr>
        <w:pStyle w:val="Compact"/>
        <w:numPr>
          <w:ilvl w:val="1"/>
          <w:numId w:val="1020"/>
        </w:numPr>
      </w:pPr>
      <w:r>
        <w:t xml:space="preserve">Wezwanie powinno zawierać żądanie utrzymania czynszu na dotychczasowym poziomie 2 500,00 zł oraz przedstawienia pełnej, szczegółowej kalkulacji podwyżki, wskazując termin 14 dni na odpowiedź.</w:t>
      </w:r>
    </w:p>
    <w:p>
      <w:pPr>
        <w:pStyle w:val="Compact"/>
        <w:numPr>
          <w:ilvl w:val="1"/>
          <w:numId w:val="1020"/>
        </w:numPr>
      </w:pPr>
      <w:r>
        <w:t xml:space="preserve">Wysłanie wezwania listem poleconym za potwierdzeniem odbioru.</w:t>
      </w:r>
    </w:p>
    <w:p>
      <w:pPr>
        <w:pStyle w:val="Compact"/>
        <w:numPr>
          <w:ilvl w:val="0"/>
          <w:numId w:val="1018"/>
        </w:numPr>
      </w:pPr>
      <w:r>
        <w:rPr>
          <w:b/>
          <w:bCs/>
        </w:rPr>
        <w:t xml:space="preserve">Monitorowanie odpowiedzi Wynajmującego i płatności czynszu (Ciągłe):</w:t>
      </w:r>
    </w:p>
    <w:p>
      <w:pPr>
        <w:pStyle w:val="Compact"/>
        <w:numPr>
          <w:ilvl w:val="1"/>
          <w:numId w:val="1021"/>
        </w:numPr>
      </w:pPr>
      <w:r>
        <w:t xml:space="preserve">Należy zalecić Klientowi, aby</w:t>
      </w:r>
      <w:r>
        <w:t xml:space="preserve"> </w:t>
      </w:r>
      <w:r>
        <w:rPr>
          <w:b/>
          <w:bCs/>
        </w:rPr>
        <w:t xml:space="preserve">nie płacił podwyższonego czynszu (700,00 zł)</w:t>
      </w:r>
      <w:r>
        <w:t xml:space="preserve">, a jedynie kontynuował opłacanie czynszu w dotychczasowej wysokości 2 500,00 zł.</w:t>
      </w:r>
    </w:p>
    <w:p>
      <w:pPr>
        <w:pStyle w:val="Compact"/>
        <w:numPr>
          <w:ilvl w:val="1"/>
          <w:numId w:val="1021"/>
        </w:numPr>
      </w:pPr>
      <w:r>
        <w:t xml:space="preserve">Monitorowanie terminu odpowiedzi na wezwanie przedsądowe.</w:t>
      </w:r>
    </w:p>
    <w:p>
      <w:pPr>
        <w:pStyle w:val="Compact"/>
        <w:numPr>
          <w:ilvl w:val="0"/>
          <w:numId w:val="1018"/>
        </w:numPr>
      </w:pPr>
      <w:r>
        <w:rPr>
          <w:b/>
          <w:bCs/>
        </w:rPr>
        <w:t xml:space="preserve">Przygotowanie Pozwu o Ustalenie i Wniosku o Zabezpieczenie (Termin: Po upływie terminu z wezwania przedsądowego lub w przypadku braku satysfakcjonującej odpowiedzi):</w:t>
      </w:r>
    </w:p>
    <w:p>
      <w:pPr>
        <w:pStyle w:val="Compact"/>
        <w:numPr>
          <w:ilvl w:val="1"/>
          <w:numId w:val="1022"/>
        </w:numPr>
      </w:pPr>
      <w:r>
        <w:t xml:space="preserve">W przypadku braku pozytywnej odpowiedzi lub dalszego obstawania przy podwyżce, należy przygotować i złożyć do Sądu Rejonowego Wydziału Cywilnego:</w:t>
      </w:r>
    </w:p>
    <w:p>
      <w:pPr>
        <w:pStyle w:val="Compact"/>
        <w:numPr>
          <w:ilvl w:val="2"/>
          <w:numId w:val="1023"/>
        </w:numPr>
      </w:pPr>
      <w:r>
        <w:rPr>
          <w:b/>
          <w:bCs/>
        </w:rPr>
        <w:t xml:space="preserve">Pozew o ustalenie</w:t>
      </w:r>
      <w:r>
        <w:t xml:space="preserve">, że jednostronna zmiana czynszu z dnia 15.06.2025 r. jest nieskuteczna/bezskuteczna.</w:t>
      </w:r>
    </w:p>
    <w:p>
      <w:pPr>
        <w:pStyle w:val="Compact"/>
        <w:numPr>
          <w:ilvl w:val="2"/>
          <w:numId w:val="1023"/>
        </w:numPr>
      </w:pPr>
      <w:r>
        <w:rPr>
          <w:b/>
          <w:bCs/>
        </w:rPr>
        <w:t xml:space="preserve">Wniosek o zabezpieczenie sądowe</w:t>
      </w:r>
      <w:r>
        <w:t xml:space="preserve">, żądający zakazu naliczania i egzekwowania nowej, wyższej stawki czynszu do czasu rozstrzygnięcia meritum sprawy.</w:t>
      </w:r>
    </w:p>
    <w:p>
      <w:pPr>
        <w:pStyle w:val="Compact"/>
        <w:numPr>
          <w:ilvl w:val="0"/>
          <w:numId w:val="1018"/>
        </w:numPr>
      </w:pPr>
      <w:r>
        <w:rPr>
          <w:b/>
          <w:bCs/>
        </w:rPr>
        <w:t xml:space="preserve">Poinformowanie Klienta:</w:t>
      </w:r>
    </w:p>
    <w:p>
      <w:pPr>
        <w:pStyle w:val="Compact"/>
        <w:numPr>
          <w:ilvl w:val="1"/>
          <w:numId w:val="1024"/>
        </w:numPr>
      </w:pPr>
      <w:r>
        <w:t xml:space="preserve">Przedstawienie klientowi szczegółowej opinii prawnej z analizą sprawy, ryzyk i rekomendowanymi działaniami.</w:t>
      </w:r>
    </w:p>
    <w:p>
      <w:pPr>
        <w:pStyle w:val="Compact"/>
        <w:numPr>
          <w:ilvl w:val="1"/>
          <w:numId w:val="1024"/>
        </w:numPr>
      </w:pPr>
      <w:r>
        <w:t xml:space="preserve">Omówienie harmonogramu działań i potencjalnych kosztów.</w:t>
      </w:r>
    </w:p>
    <w:bookmarkEnd w:id="27"/>
    <w:bookmarkStart w:id="34" w:name="projekty-pism"/>
    <w:p>
      <w:pPr>
        <w:pStyle w:val="Heading2"/>
      </w:pPr>
      <w:r>
        <w:t xml:space="preserve">Projekty pism</w:t>
      </w:r>
    </w:p>
    <w:bookmarkStart w:id="28" w:name="wezwanie-przedsądowe-do-wynajmującego"/>
    <w:p>
      <w:pPr>
        <w:pStyle w:val="Heading3"/>
      </w:pPr>
      <w:r>
        <w:t xml:space="preserve">9.1. Wezwanie przedsądowe do Wynajmującego</w:t>
      </w:r>
    </w:p>
    <w:p>
      <w:pPr>
        <w:pStyle w:val="FirstParagraph"/>
      </w:pPr>
      <w:r>
        <w:t xml:space="preserve">Warszawa, dnia [Aktualna data]</w:t>
      </w:r>
    </w:p>
    <w:p>
      <w:pPr>
        <w:pStyle w:val="BodyText"/>
      </w:pPr>
      <w:r>
        <w:rPr>
          <w:b/>
          <w:bCs/>
        </w:rPr>
        <w:t xml:space="preserve">A. K.</w:t>
      </w:r>
    </w:p>
    <w:p>
      <w:pPr>
        <w:pStyle w:val="BodyText"/>
      </w:pPr>
      <w:r>
        <w:t xml:space="preserve">Warszawa</w:t>
      </w:r>
    </w:p>
    <w:p>
      <w:pPr>
        <w:pStyle w:val="BodyText"/>
      </w:pPr>
      <w:r>
        <w:rPr>
          <w:b/>
          <w:bCs/>
        </w:rPr>
        <w:t xml:space="preserve">Wzywający:</w:t>
      </w:r>
      <w:r>
        <w:t xml:space="preserve"> </w:t>
      </w:r>
      <w:r>
        <w:t xml:space="preserve">Pan J. N.</w:t>
      </w:r>
    </w:p>
    <w:p>
      <w:pPr>
        <w:pStyle w:val="BodyText"/>
      </w:pPr>
      <w:r>
        <w:t xml:space="preserve">Warszawa</w:t>
      </w:r>
      <w:r>
        <w:t xml:space="preserve"> </w:t>
      </w:r>
      <w:r>
        <w:t xml:space="preserve">PESEL ███████████</w:t>
      </w:r>
    </w:p>
    <w:p>
      <w:pPr>
        <w:pStyle w:val="BodyText"/>
      </w:pPr>
      <w:r>
        <w:rPr>
          <w:b/>
          <w:bCs/>
        </w:rPr>
        <w:t xml:space="preserve">REPREZENTOWANY PRZEZ KANCELARIĘ PRAWNĄ [Nazwa Kancelarii]</w:t>
      </w:r>
      <w:r>
        <w:t xml:space="preserve"> </w:t>
      </w:r>
      <w:r>
        <w:t xml:space="preserve">[Adres Kancelarii]</w:t>
      </w:r>
      <w:r>
        <w:t xml:space="preserve"> </w:t>
      </w:r>
      <w:r>
        <w:t xml:space="preserve">[Tel. Kancelarii]</w:t>
      </w:r>
      <w:r>
        <w:t xml:space="preserve"> </w:t>
      </w:r>
      <w:r>
        <w:t xml:space="preserve">[E-mail Kancelarii]</w:t>
      </w:r>
    </w:p>
    <w:p>
      <w:pPr>
        <w:pStyle w:val="BodyText"/>
      </w:pPr>
      <w:r>
        <w:rPr>
          <w:b/>
          <w:bCs/>
        </w:rPr>
        <w:t xml:space="preserve">WEZWANIE PRZEDSĄDOWE DO ZANIECHANIA NARUSZANIA PRAW NAJEMCY I UTRZYMANIA CZYNSZU W DOTYCHCZASOWEJ WYSOKOŚCI</w:t>
      </w:r>
    </w:p>
    <w:p>
      <w:pPr>
        <w:pStyle w:val="BodyText"/>
      </w:pPr>
      <w:r>
        <w:t xml:space="preserve">Działając w imieniu i na rzecz Pana J. N., Najemcy lokalu mieszkalnego położonego w Warszawie, na podstawie umowy najmu nr UM/████/89 z dnia 28 września 2023 r., niniejszym wzywam Panią A. K. do natychmiastowego zaniechania wszelkich działań zmierzających do jednostronnej podwyżki czynszu najmu oraz do utrzymania czynszu w dotychczasowej wysokości 2 500,00 zł (dwa tysiące pięćset złotych) miesięcznie.</w:t>
      </w:r>
    </w:p>
    <w:p>
      <w:pPr>
        <w:pStyle w:val="BodyText"/>
      </w:pPr>
      <w:r>
        <w:rPr>
          <w:b/>
          <w:bCs/>
        </w:rPr>
        <w:t xml:space="preserve">UZASADNIENIE</w:t>
      </w:r>
    </w:p>
    <w:p>
      <w:pPr>
        <w:numPr>
          <w:ilvl w:val="0"/>
          <w:numId w:val="1025"/>
        </w:numPr>
      </w:pPr>
      <w:r>
        <w:rPr>
          <w:b/>
          <w:bCs/>
        </w:rPr>
        <w:t xml:space="preserve">Nieskuteczność jednostronnej podwyżki czynszu:</w:t>
      </w:r>
      <w:r>
        <w:t xml:space="preserve"> </w:t>
      </w:r>
      <w:r>
        <w:t xml:space="preserve">W dniu 15 czerwca 2025 r. [Źródło 3] doręczyła Pani Panu J. N. „Zawiadomienie o zmianie wysokości czynszu” [Źródło 3], w którym poinformowała Pani o podwyższeniu czynszu najmu z kwoty 2 500,00 zł na kwotę 3 200,00 zł miesięcznie, z terminem wejścia w życie zmiany na dzień 1 sierpnia 2025 r. [Źródło 3]. Jako podstawę prawną powołała Pani §4 ust. 1 umowy najmu, który zastrzega prawo Wynajmującego do jednostronnej zmiany czynszu oraz przewiduje akceptację nowej wysokości czynszu w przypadku braku pisemnego sprzeciwu Najemcy w terminie 14 dni od doręczenia zawiadomienia [Źródło 3].</w:t>
      </w:r>
    </w:p>
    <w:p>
      <w:pPr>
        <w:numPr>
          <w:ilvl w:val="0"/>
          <w:numId w:val="1000"/>
        </w:numPr>
      </w:pPr>
      <w:r>
        <w:t xml:space="preserve">Pana J. N., w odpowiedzi na powyższe zawiadomienie, doręczył Pani pisemny sprzeciw w dniu 22 czerwca 2025 r. [Źródło 4]. Od daty doręczenia zawiadomienia (15.06.2025 r.) do daty doręczenia sprzeciwu (22.06.2025 r.) upłynęło 7 dni. W związku z tym sprzeciw Pana J. N. został złożony w terminie określonym w §4 ust. 1 umowy i jest w pełni skuteczny. Pani twierdzenie o bezskuteczności sprzeciwu i „cichym zaakceptowaniu” podwyżki [Źródło 6] jest zatem nieprawdziwe i nie ma podstaw prawnych.</w:t>
      </w:r>
    </w:p>
    <w:p>
      <w:pPr>
        <w:numPr>
          <w:ilvl w:val="0"/>
          <w:numId w:val="1025"/>
        </w:numPr>
      </w:pPr>
      <w:r>
        <w:rPr>
          <w:b/>
          <w:bCs/>
        </w:rPr>
        <w:t xml:space="preserve">Abuzywność klauzuli §4 ust. 1 umowy:</w:t>
      </w:r>
      <w:r>
        <w:t xml:space="preserve"> </w:t>
      </w:r>
      <w:r>
        <w:t xml:space="preserve">Niezależnie od terminowego złożenia sprzeciwu, postanowienie §4 ust. 1 umowy najmu jest sprzeczne z przepisami prawa i jako takie nie wiąże Pana J. N.. Pan J. N. jest konsumentem w rozumieniu art. 22¹ Kodeksu cywilnego, a umowa najmu została zawarta w ramach Pani działalności gospodarczej [Źródło 4]. Postanowienie §4 ust. 1 umowy, dające Wynajmującemu prawo do jednostronnej zmiany czynszu i wprowadzające mechanizm domniemanej akceptacji, stanowi niedozwoloną klauzulę umowną (klauzulę abuzywną) w świetle art. 385¹ § 1 Kodeksu cywilnego.</w:t>
      </w:r>
    </w:p>
    <w:p>
      <w:pPr>
        <w:numPr>
          <w:ilvl w:val="0"/>
          <w:numId w:val="1000"/>
        </w:numPr>
      </w:pPr>
      <w:r>
        <w:t xml:space="preserve">Zgodnie z art. 385¹ § 1 Kodeksu cywilnego, postanowienia umowy zawieranej z konsumentem, nieuzgodnione indywidualnie, nie wiążą go, jeżeli kształtują jego prawa i obowiązki w sposób sprzeczny z dobrymi obyczajami, rażąco naruszając jego interesy. Klauzula ta rażąco narusza interesy konsumenta, ponieważ:</w:t>
      </w:r>
    </w:p>
    <w:p>
      <w:pPr>
        <w:pStyle w:val="Compact"/>
        <w:numPr>
          <w:ilvl w:val="1"/>
          <w:numId w:val="1026"/>
        </w:numPr>
      </w:pPr>
      <w:r>
        <w:t xml:space="preserve">Umożliwia jednostronną zmianę istotnego warunku umowy (wysokości czynszu) bez obiektywnych i transparentnych kryteriów, umożliwiających Najemcy weryfikację zasadności podwyżki. Wskazane w zawiadomieniu uzasadnienie w postaci „wzrostu kosztów utrzymania budynku” i „podwyżki stawki podatku od nieruchomości” jest ogólnikowe i nie poparte szczegółową kalkulacją [Źródło 3, Źródło 5].</w:t>
      </w:r>
    </w:p>
    <w:p>
      <w:pPr>
        <w:pStyle w:val="Compact"/>
        <w:numPr>
          <w:ilvl w:val="1"/>
          <w:numId w:val="1026"/>
        </w:numPr>
      </w:pPr>
      <w:r>
        <w:t xml:space="preserve">Przerzuca na konsumenta ciężar aktywnego działania pod rygorem związania niekorzystną zmianą, co jest sprzeczne z dobrymi obyczajami. Domniemana zgoda narusza zasadę swobody zawierania umów.</w:t>
      </w:r>
    </w:p>
    <w:p>
      <w:pPr>
        <w:numPr>
          <w:ilvl w:val="0"/>
          <w:numId w:val="1000"/>
        </w:numPr>
      </w:pPr>
      <w:r>
        <w:t xml:space="preserve">Powyższe postanowienie jest również tożsame z przykładowymi klauzulami niedozwolonymi wskazanymi w art. 385³ pkt 20 i 21 Kodeksu cywilnego.W związku z powyższym, jednostronna podwyżka czynszu, na którą powołuje się Pani, jest prawnie bezskuteczna, a Wynajmujący nie jest uprawniony do żądania czynszu w podwyższonej wysokości. Pan J. N. jest zobowiązany do zapłaty czynszu w dotychczasowej kwocie 2 500,00 zł miesięcznie.</w:t>
      </w:r>
    </w:p>
    <w:p>
      <w:pPr>
        <w:pStyle w:val="FirstParagraph"/>
      </w:pPr>
      <w:r>
        <w:rPr>
          <w:b/>
          <w:bCs/>
        </w:rPr>
        <w:t xml:space="preserve">Żądanie:</w:t>
      </w:r>
      <w:r>
        <w:t xml:space="preserve"> </w:t>
      </w:r>
      <w:r>
        <w:t xml:space="preserve">W świetle przedstawionych okoliczności, wzywam Panią do:</w:t>
      </w:r>
      <w:r>
        <w:t xml:space="preserve"> </w:t>
      </w:r>
      <w:r>
        <w:t xml:space="preserve">1. Potwierdzenia w terminie 14 dni od daty doręczenia niniejszego wezwania, że czynsz najmu za lokal w Warszawie pozostaje na dotychczasowym poziomie 2 500,00 zł (dwa tysiące pięćset złotych) miesięcznie.</w:t>
      </w:r>
      <w:r>
        <w:t xml:space="preserve"> </w:t>
      </w:r>
      <w:r>
        <w:t xml:space="preserve">2. Zaniechania wszelkich działań zmierzających do naliczania, żądania i egzekwowania czynszu w podwyższonej wysokości.</w:t>
      </w:r>
      <w:r>
        <w:t xml:space="preserve"> </w:t>
      </w:r>
      <w:r>
        <w:t xml:space="preserve">3. Przedstawienia w terminie 14 dni od daty doręczenia niniejszego wezwania pełnej i szczegółowej kalkulacji ewentualnej propozycji zmiany czynszu, opartej na obiektywnych i mierzalnych kryteriach, w przypadku, gdyby była Pani zainteresowana podjęciem negocjacji w tej sprawie.</w:t>
      </w:r>
    </w:p>
    <w:p>
      <w:pPr>
        <w:pStyle w:val="BodyText"/>
      </w:pPr>
      <w:r>
        <w:t xml:space="preserve">W przypadku braku pozytywnej odpowiedzi na niniejsze wezwanie w zakreślonym terminie, a także w razie dalszego naliczania lub dochodzenia podwyższonego czynszu, będziemy zmuszeni do podjęcia kroków prawnych, w tym wniesienia powództwa do Sądu Rejonowego o ustalenie, że jednostronna zmiana czynszu jest nieskuteczna, oraz o zabezpieczenie powództwa poprzez zakaz naliczania i egzekwowania nowej stawki czynszu. Będzie to również skutkowało obciążeniem Pani kosztami postępowania sądowego.</w:t>
      </w:r>
    </w:p>
    <w:p>
      <w:pPr>
        <w:pStyle w:val="BodyText"/>
      </w:pPr>
      <w:r>
        <w:t xml:space="preserve">Z poważaniem,</w:t>
      </w:r>
      <w:r>
        <w:t xml:space="preserve"> </w:t>
      </w:r>
      <w:r>
        <w:t xml:space="preserve">[Imię i Nazwisko Pełnomocnika]</w:t>
      </w:r>
      <w:r>
        <w:t xml:space="preserve"> </w:t>
      </w:r>
      <w:r>
        <w:t xml:space="preserve">[Podpis]</w:t>
      </w:r>
    </w:p>
    <w:p>
      <w:r>
        <w:pict>
          <v:rect style="width:0;height:1.5pt" o:hralign="center" o:hrstd="t" o:hr="t"/>
        </w:pict>
      </w:r>
    </w:p>
    <w:bookmarkEnd w:id="28"/>
    <w:bookmarkStart w:id="29" w:name="opinia-prawna-dla-klienta"/>
    <w:p>
      <w:pPr>
        <w:pStyle w:val="Heading3"/>
      </w:pPr>
      <w:r>
        <w:t xml:space="preserve">9.2. Opinia prawna dla Klienta</w:t>
      </w:r>
    </w:p>
    <w:p>
      <w:pPr>
        <w:pStyle w:val="FirstParagraph"/>
      </w:pPr>
      <w:r>
        <w:rPr>
          <w:b/>
          <w:bCs/>
        </w:rPr>
        <w:t xml:space="preserve">Opinia Prawna</w:t>
      </w:r>
      <w:r>
        <w:t xml:space="preserve"> </w:t>
      </w:r>
      <w:r>
        <w:rPr>
          <w:b/>
          <w:bCs/>
        </w:rPr>
        <w:t xml:space="preserve">Data:</w:t>
      </w:r>
      <w:r>
        <w:t xml:space="preserve"> </w:t>
      </w:r>
      <w:r>
        <w:t xml:space="preserve">[Aktualna data]</w:t>
      </w:r>
      <w:r>
        <w:t xml:space="preserve"> </w:t>
      </w:r>
      <w:r>
        <w:rPr>
          <w:b/>
          <w:bCs/>
        </w:rPr>
        <w:t xml:space="preserve">Klient:</w:t>
      </w:r>
      <w:r>
        <w:t xml:space="preserve"> </w:t>
      </w:r>
      <w:r>
        <w:t xml:space="preserve">Pan J. N.</w:t>
      </w:r>
      <w:r>
        <w:t xml:space="preserve"> </w:t>
      </w:r>
      <w:r>
        <w:rPr>
          <w:b/>
          <w:bCs/>
        </w:rPr>
        <w:t xml:space="preserve">Dotyczy:</w:t>
      </w:r>
      <w:r>
        <w:t xml:space="preserve"> </w:t>
      </w:r>
      <w:r>
        <w:t xml:space="preserve">Ocena skuteczności jednostronnej podwyżki czynszu najmu lokalu mieszkalnego w Warszawie.</w:t>
      </w:r>
      <w:r>
        <w:t xml:space="preserve"> </w:t>
      </w:r>
      <w:r>
        <w:rPr>
          <w:b/>
          <w:bCs/>
        </w:rPr>
        <w:t xml:space="preserve">Numer umowy:</w:t>
      </w:r>
      <w:r>
        <w:t xml:space="preserve"> </w:t>
      </w:r>
      <w:r>
        <w:t xml:space="preserve">UM/████/89</w:t>
      </w:r>
    </w:p>
    <w:p>
      <w:pPr>
        <w:pStyle w:val="BodyText"/>
      </w:pPr>
      <w:r>
        <w:rPr>
          <w:b/>
          <w:bCs/>
        </w:rPr>
        <w:t xml:space="preserve">I. Przedmiot i cel opinii</w:t>
      </w:r>
    </w:p>
    <w:p>
      <w:pPr>
        <w:pStyle w:val="BodyText"/>
      </w:pPr>
      <w:r>
        <w:t xml:space="preserve">Niniejsza opinia prawna ma na celu kompleksową analizę stanu faktycznego i prawnego dotyczącego jednostronnej podwyżki czynszu najmu lokalu mieszkalnego, dokonanej przez Wynajmującą, Panią A. K., w stosunku do Pana J. N. (Klienta), będącego Najemcą. Celem opinii jest kwalifikacja prawna działań stron, ocena ważności i skuteczności kluczowych postanowień umowy najmu, w szczególności klauzuli dotyczącej zmiany czynszu, a także przedstawienie rekomendowanej strategii działania, obejmującej ocenę ryzyk i szans oraz propozycję dalszych kroków prawnych.</w:t>
      </w:r>
    </w:p>
    <w:p>
      <w:pPr>
        <w:pStyle w:val="BodyText"/>
      </w:pPr>
      <w:r>
        <w:rPr>
          <w:b/>
          <w:bCs/>
        </w:rPr>
        <w:t xml:space="preserve">II. Stan faktyczny (na podstawie przedstawionych dokumentów)</w:t>
      </w:r>
    </w:p>
    <w:p>
      <w:pPr>
        <w:pStyle w:val="Compact"/>
        <w:numPr>
          <w:ilvl w:val="0"/>
          <w:numId w:val="1027"/>
        </w:numPr>
      </w:pPr>
      <w:r>
        <w:rPr>
          <w:b/>
          <w:bCs/>
        </w:rPr>
        <w:t xml:space="preserve">Strony umowy:</w:t>
      </w:r>
      <w:r>
        <w:t xml:space="preserve"> </w:t>
      </w:r>
      <w:r>
        <w:t xml:space="preserve">Wynajmujący – Pani A. K. (reprezentowana przez „A. Sp. z o.o.”); Najemca – Pan J. N. [Źródło 4].</w:t>
      </w:r>
    </w:p>
    <w:p>
      <w:pPr>
        <w:pStyle w:val="Compact"/>
        <w:numPr>
          <w:ilvl w:val="0"/>
          <w:numId w:val="1027"/>
        </w:numPr>
      </w:pPr>
      <w:r>
        <w:rPr>
          <w:b/>
          <w:bCs/>
        </w:rPr>
        <w:t xml:space="preserve">Przedmiot umowy:</w:t>
      </w:r>
      <w:r>
        <w:t xml:space="preserve"> </w:t>
      </w:r>
      <w:r>
        <w:t xml:space="preserve">Lokal mieszkalny przy Warszawa [Źródło 3].</w:t>
      </w:r>
    </w:p>
    <w:p>
      <w:pPr>
        <w:pStyle w:val="Compact"/>
        <w:numPr>
          <w:ilvl w:val="0"/>
          <w:numId w:val="1027"/>
        </w:numPr>
      </w:pPr>
      <w:r>
        <w:rPr>
          <w:b/>
          <w:bCs/>
        </w:rPr>
        <w:t xml:space="preserve">Rodzaj i okres umowy:</w:t>
      </w:r>
      <w:r>
        <w:t xml:space="preserve"> </w:t>
      </w:r>
      <w:r>
        <w:t xml:space="preserve">Umowa najmu okazjonalnego, zawarta na czas oznaczony od 01.10.2023 r. do 30.09.2025 r. [Źródło 3].</w:t>
      </w:r>
    </w:p>
    <w:p>
      <w:pPr>
        <w:pStyle w:val="Compact"/>
        <w:numPr>
          <w:ilvl w:val="0"/>
          <w:numId w:val="1027"/>
        </w:numPr>
      </w:pPr>
      <w:r>
        <w:rPr>
          <w:b/>
          <w:bCs/>
        </w:rPr>
        <w:t xml:space="preserve">Dotychczasowy czynsz:</w:t>
      </w:r>
      <w:r>
        <w:t xml:space="preserve"> </w:t>
      </w:r>
      <w:r>
        <w:t xml:space="preserve">2 500,00 zł miesięcznie [Źródło 3].</w:t>
      </w:r>
    </w:p>
    <w:p>
      <w:pPr>
        <w:pStyle w:val="Compact"/>
        <w:numPr>
          <w:ilvl w:val="0"/>
          <w:numId w:val="1027"/>
        </w:numPr>
      </w:pPr>
      <w:r>
        <w:rPr>
          <w:b/>
          <w:bCs/>
        </w:rPr>
        <w:t xml:space="preserve">Kluczowe postanowienia umowy:</w:t>
      </w:r>
    </w:p>
    <w:p>
      <w:pPr>
        <w:pStyle w:val="Compact"/>
        <w:numPr>
          <w:ilvl w:val="1"/>
          <w:numId w:val="1028"/>
        </w:numPr>
      </w:pPr>
      <w:r>
        <w:t xml:space="preserve">§4 ust. 1: Wynajmujący zastrzega sobie prawo do jednostronnej zmiany wysokości czynszu najmu pisemnym zawiadomieniem (min. 30 dni przed zmianą). Brak sprzeciwu Najemcy w ciągu 14 dni od doręczenia zawiadomienia oznacza akceptację nowej wysokości [Źródło 3].</w:t>
      </w:r>
    </w:p>
    <w:p>
      <w:pPr>
        <w:pStyle w:val="Compact"/>
        <w:numPr>
          <w:ilvl w:val="1"/>
          <w:numId w:val="1028"/>
        </w:numPr>
      </w:pPr>
      <w:r>
        <w:t xml:space="preserve">§5 ust. 1: Wszelkie zmiany umowy wymagają formy pisemnej pod rygorem nieważności [Źródło 3].</w:t>
      </w:r>
    </w:p>
    <w:p>
      <w:pPr>
        <w:pStyle w:val="Compact"/>
        <w:numPr>
          <w:ilvl w:val="1"/>
          <w:numId w:val="1028"/>
        </w:numPr>
      </w:pPr>
      <w:r>
        <w:t xml:space="preserve">§6 ust. 3: W sprawach nieuregulowanych zastosowanie mają przepisy Kodeksu cywilnego (art. 659–692) oraz przepisy o ochronie praw konsumenta [Źródło 4].</w:t>
      </w:r>
    </w:p>
    <w:p>
      <w:pPr>
        <w:pStyle w:val="Compact"/>
        <w:numPr>
          <w:ilvl w:val="0"/>
          <w:numId w:val="1027"/>
        </w:numPr>
      </w:pPr>
      <w:r>
        <w:rPr>
          <w:b/>
          <w:bCs/>
        </w:rPr>
        <w:t xml:space="preserve">Chronologia zdarzeń:</w:t>
      </w:r>
    </w:p>
    <w:p>
      <w:pPr>
        <w:pStyle w:val="Compact"/>
        <w:numPr>
          <w:ilvl w:val="1"/>
          <w:numId w:val="1029"/>
        </w:numPr>
      </w:pPr>
      <w:r>
        <w:t xml:space="preserve">15.06.2025 r.: Wynajmujący przesyła zawiadomienie o podwyżce czynszu do 3 200,00 zł (+28%) od 01.08.2025 r., uzasadniając wzrostem kosztów [Źródło 3]. Doręczenie osobiste i e-mailem [Źródło 3].</w:t>
      </w:r>
    </w:p>
    <w:p>
      <w:pPr>
        <w:pStyle w:val="Compact"/>
        <w:numPr>
          <w:ilvl w:val="1"/>
          <w:numId w:val="1029"/>
        </w:numPr>
      </w:pPr>
      <w:r>
        <w:t xml:space="preserve">22.06.2025 r.: Najemca (Pan J. N.) doręcza Wynajmującemu pisemny sprzeciw kwestionujący podwyżkę [Źródło 4].</w:t>
      </w:r>
    </w:p>
    <w:p>
      <w:pPr>
        <w:pStyle w:val="Compact"/>
        <w:numPr>
          <w:ilvl w:val="1"/>
          <w:numId w:val="1029"/>
        </w:numPr>
      </w:pPr>
      <w:r>
        <w:t xml:space="preserve">30.06.2025 r.: Wynajmujący odrzuca sprzeciw, podtrzymuje podwyżkę [Źródło 4].</w:t>
      </w:r>
    </w:p>
    <w:p>
      <w:pPr>
        <w:pStyle w:val="Compact"/>
        <w:numPr>
          <w:ilvl w:val="1"/>
          <w:numId w:val="1029"/>
        </w:numPr>
      </w:pPr>
      <w:r>
        <w:t xml:space="preserve">10.07.2025 r.: Wynajmujący wystawia fakturę za sierpień na 3 200,00 zł [Źródło 4].</w:t>
      </w:r>
    </w:p>
    <w:p>
      <w:pPr>
        <w:pStyle w:val="Compact"/>
        <w:numPr>
          <w:ilvl w:val="1"/>
          <w:numId w:val="1029"/>
        </w:numPr>
      </w:pPr>
      <w:r>
        <w:t xml:space="preserve">25.07.2025 r.: Wynajmujący wysyła upomnienie, grożąc odsetkami i wypowiedzeniem umowy [Źródło 6].</w:t>
      </w:r>
    </w:p>
    <w:p>
      <w:pPr>
        <w:pStyle w:val="FirstParagraph"/>
      </w:pPr>
      <w:r>
        <w:rPr>
          <w:b/>
          <w:bCs/>
        </w:rPr>
        <w:t xml:space="preserve">III. Analiza prawna</w:t>
      </w:r>
    </w:p>
    <w:p>
      <w:pPr>
        <w:pStyle w:val="BodyText"/>
      </w:pPr>
      <w:r>
        <w:rPr>
          <w:b/>
          <w:bCs/>
        </w:rPr>
        <w:t xml:space="preserve">A. Kwalifikacja prawna stosunku umownego i status Klienta</w:t>
      </w:r>
    </w:p>
    <w:p>
      <w:pPr>
        <w:pStyle w:val="BodyText"/>
      </w:pPr>
      <w:r>
        <w:t xml:space="preserve">Umowa najmu okazjonalnego lokalu mieszkalnego jest umową cywilnoprawną. Klient, Pan J. N., jako osoba fizyczna wynajmująca lokal na cele mieszkalne od Wynajmującej prowadzącej działalność gospodarczą (reprezentacja przez „A. Sp. z o.o.”) [Źródło 4], posiada status konsumenta w rozumieniu art. 22¹ Kodeksu cywilnego. Oznacza to, że jest on objęty ochroną przewidzianą dla konsumentów, w tym w zakresie niedozwolonych postanowień umownych (klauzul abuzywnych).</w:t>
      </w:r>
    </w:p>
    <w:p>
      <w:pPr>
        <w:pStyle w:val="BodyText"/>
      </w:pPr>
      <w:r>
        <w:rPr>
          <w:b/>
          <w:bCs/>
        </w:rPr>
        <w:t xml:space="preserve">B. Ocena ważności i skuteczności klauzuli §4 ust. 1 umowy (prawo Wynajmującego do jednostronnej zmiany czynszu)</w:t>
      </w:r>
    </w:p>
    <w:p>
      <w:pPr>
        <w:pStyle w:val="BodyText"/>
      </w:pPr>
      <w:r>
        <w:t xml:space="preserve">Postanowienie §4 ust. 1 umowy najmu [Źródło 3] jest kluczowe dla rozstrzygnięcia sprawy. Jego treść, dająca Wynajmującemu prawo do jednostronnej zmiany wysokości czynszu oraz wprowadzająca domniemanie akceptacji podwyżki w przypadku braku sprzeciwu Najemcy w ciągu 14 dni, jest wysoce prawdopodobne, że zostanie uznane za</w:t>
      </w:r>
      <w:r>
        <w:t xml:space="preserve"> </w:t>
      </w:r>
      <w:r>
        <w:rPr>
          <w:b/>
          <w:bCs/>
        </w:rPr>
        <w:t xml:space="preserve">nieważne jako niedozwolone postanowienie umowne (klauzulę abuzywną)</w:t>
      </w:r>
      <w:r>
        <w:t xml:space="preserve">.</w:t>
      </w:r>
    </w:p>
    <w:p>
      <w:pPr>
        <w:pStyle w:val="BodyText"/>
      </w:pPr>
      <w:r>
        <w:rPr>
          <w:b/>
          <w:bCs/>
        </w:rPr>
        <w:t xml:space="preserve">Uzasadnienie:</w:t>
      </w:r>
      <w:r>
        <w:t xml:space="preserve"> </w:t>
      </w:r>
      <w:r>
        <w:t xml:space="preserve">1.</w:t>
      </w:r>
      <w:r>
        <w:t xml:space="preserve"> </w:t>
      </w:r>
      <w:r>
        <w:rPr>
          <w:b/>
          <w:bCs/>
        </w:rPr>
        <w:t xml:space="preserve">Art. 385¹ § 1 Kodeksu cywilnego:</w:t>
      </w:r>
      <w:r>
        <w:t xml:space="preserve"> </w:t>
      </w:r>
      <w:r>
        <w:t xml:space="preserve">Przepis ten stanowi, że postanowienia umowy zawieranej z konsumentem, które nie zostały uzgodnione indywidualnie, nie wiążą go, jeżeli kształtują jego prawa i obowiązki w sposób sprzeczny z dobrymi obyczajami, rażąco naruszając jego interesy. Klauzula §4 ust. 1, jako element standardowego wzorca umowy, prawdopodobnie nie była indywidualnie negocjowana z Klientem, co spełnia jeden z warunków zastosowania art. 385¹ § 1 KC.</w:t>
      </w:r>
      <w:r>
        <w:t xml:space="preserve"> </w:t>
      </w:r>
      <w:r>
        <w:t xml:space="preserve">2.</w:t>
      </w:r>
      <w:r>
        <w:t xml:space="preserve"> </w:t>
      </w:r>
      <w:r>
        <w:rPr>
          <w:b/>
          <w:bCs/>
        </w:rPr>
        <w:t xml:space="preserve">Sprzeczność z dobrymi obyczajami i rażące naruszenie interesów konsumenta:</w:t>
      </w:r>
      <w:r>
        <w:t xml:space="preserve"> </w:t>
      </w:r>
      <w:r>
        <w:t xml:space="preserve">*</w:t>
      </w:r>
      <w:r>
        <w:t xml:space="preserve"> </w:t>
      </w:r>
      <w:r>
        <w:rPr>
          <w:b/>
          <w:bCs/>
        </w:rPr>
        <w:t xml:space="preserve">Jednostronność decyzji:</w:t>
      </w:r>
      <w:r>
        <w:t xml:space="preserve"> </w:t>
      </w:r>
      <w:r>
        <w:t xml:space="preserve">Klauzula uprawnia Wynajmującego do jednostronnej zmiany czynszu, który jest głównym świadczeniem pieniężnym Najemcy. Brak jasnych, obiektywnych i weryfikowalnych kryteriów uzasadniających podwyżkę (ogólne wskazanie na</w:t>
      </w:r>
      <w:r>
        <w:t xml:space="preserve"> </w:t>
      </w:r>
      <w:r>
        <w:t xml:space="preserve">“wzrost kosztów utrzymania budynku”</w:t>
      </w:r>
      <w:r>
        <w:t xml:space="preserve"> </w:t>
      </w:r>
      <w:r>
        <w:t xml:space="preserve">i</w:t>
      </w:r>
      <w:r>
        <w:t xml:space="preserve"> </w:t>
      </w:r>
      <w:r>
        <w:t xml:space="preserve">“podwyżkę stawki podatku od nieruchomości”</w:t>
      </w:r>
      <w:r>
        <w:t xml:space="preserve"> </w:t>
      </w:r>
      <w:r>
        <w:t xml:space="preserve">w zawiadomieniu jest niewystarczające [Źródło 3]) sprawia, że Najemca jest pozbawiony możliwości kontroli i realnego wpływu na wysokość opłat. To rażąco narusza zasadę równości stron w stosunku umownym.</w:t>
      </w:r>
      <w:r>
        <w:t xml:space="preserve"> </w:t>
      </w:r>
      <w:r>
        <w:t xml:space="preserve">*</w:t>
      </w:r>
      <w:r>
        <w:t xml:space="preserve"> </w:t>
      </w:r>
      <w:r>
        <w:rPr>
          <w:b/>
          <w:bCs/>
        </w:rPr>
        <w:t xml:space="preserve">Mechanizm</w:t>
      </w:r>
      <w:r>
        <w:rPr>
          <w:b/>
          <w:bCs/>
        </w:rPr>
        <w:t xml:space="preserve"> </w:t>
      </w:r>
      <w:r>
        <w:rPr>
          <w:b/>
          <w:bCs/>
        </w:rPr>
        <w:t xml:space="preserve">“milczącej zgody”</w:t>
      </w:r>
      <w:r>
        <w:rPr>
          <w:b/>
          <w:bCs/>
        </w:rPr>
        <w:t xml:space="preserve">:</w:t>
      </w:r>
      <w:r>
        <w:t xml:space="preserve"> </w:t>
      </w:r>
      <w:r>
        <w:t xml:space="preserve">Termin 14 dni na zgłoszenie sprzeciwu, którego brak ma skutkować domniemaną akceptacją [Źródło 3], jest mechanizmem, który w orzecznictwie sądowym wielokrotnie był uznawany za abuzywny. Przerzuca on ciężar aktywnego działania na konsumenta i narusza zasadę swobody zawierania umów. Zgoda na zmianę tak istotnego elementu umowy powinna być wyraźna, a nie domniemana z zaniechania.</w:t>
      </w:r>
      <w:r>
        <w:t xml:space="preserve"> </w:t>
      </w:r>
      <w:r>
        <w:t xml:space="preserve">3.</w:t>
      </w:r>
      <w:r>
        <w:t xml:space="preserve"> </w:t>
      </w:r>
      <w:r>
        <w:rPr>
          <w:b/>
          <w:bCs/>
        </w:rPr>
        <w:t xml:space="preserve">Art. 385³ pkt 20 i 21 Kodeksu cywilnego (przykładowe klauzule abuzywne):</w:t>
      </w:r>
      <w:r>
        <w:t xml:space="preserve"> </w:t>
      </w:r>
      <w:r>
        <w:t xml:space="preserve">* Klauzula ta spełnia znamiona postanowień uznawanych za niedozwolone, np. z pkt 20, który mówi o uprawnieniu kontrahenta konsumenta do jednostronnej zmiany umowy bez ważnej przyczyny wskazanej w umowie.</w:t>
      </w:r>
      <w:r>
        <w:t xml:space="preserve"> </w:t>
      </w:r>
      <w:r>
        <w:t xml:space="preserve">* Spełnia również znamiona pkt 21, który dotyczy zastrzegania dla kontrahenta konsumenta prawa do jednostronnej zmiany ceny lub wynagrodzenia po zawarciu umowy bez przyznania konsumentowi prawa odstąpienia od umowy. Umowa najmu nr UM/████/89 nie przyznaje Najemcy prawa odstąpienia w przypadku podwyżki czynszu [Źródło 3].</w:t>
      </w:r>
      <w:r>
        <w:t xml:space="preserve"> </w:t>
      </w:r>
      <w:r>
        <w:t xml:space="preserve">4.</w:t>
      </w:r>
      <w:r>
        <w:t xml:space="preserve"> </w:t>
      </w:r>
      <w:r>
        <w:rPr>
          <w:b/>
          <w:bCs/>
        </w:rPr>
        <w:t xml:space="preserve">Orzecznictwo:</w:t>
      </w:r>
      <w:r>
        <w:t xml:space="preserve"> </w:t>
      </w:r>
      <w:r>
        <w:t xml:space="preserve">Brak bezpośrednich orzeczeń w dostarczonym materiale kontekstowym dotyczących najmu okazjonalnego, jednakże dominująca linia orzecznicza w sprawach konsumenckich konsekwentnie chroni konsumentów przed jednostronnymi, niejasnymi i niekontrolowanymi zmianami warunków umów.</w:t>
      </w:r>
    </w:p>
    <w:p>
      <w:pPr>
        <w:pStyle w:val="BodyText"/>
      </w:pPr>
      <w:r>
        <w:rPr>
          <w:b/>
          <w:bCs/>
        </w:rPr>
        <w:t xml:space="preserve">Konkluzja:</w:t>
      </w:r>
      <w:r>
        <w:t xml:space="preserve"> </w:t>
      </w:r>
      <w:r>
        <w:t xml:space="preserve">Klauzula §4 ust. 1 umowy jest nieważna i nie wiąże Pana J. N.. Oznacza to, że podwyżka czynszu dokonana na jej podstawie jest nieskuteczna, a czynsz pozostaje na poziomie 2 500,00 zł.</w:t>
      </w:r>
    </w:p>
    <w:p>
      <w:pPr>
        <w:pStyle w:val="BodyText"/>
      </w:pPr>
      <w:r>
        <w:rPr>
          <w:b/>
          <w:bCs/>
        </w:rPr>
        <w:t xml:space="preserve">C. Skuteczność doręczenia zawiadomienia o podwyżce i sprzeciwu Najemcy</w:t>
      </w:r>
    </w:p>
    <w:p>
      <w:pPr>
        <w:pStyle w:val="Compact"/>
        <w:numPr>
          <w:ilvl w:val="0"/>
          <w:numId w:val="1030"/>
        </w:numPr>
      </w:pPr>
      <w:r>
        <w:rPr>
          <w:b/>
          <w:bCs/>
        </w:rPr>
        <w:t xml:space="preserve">Doręczenie zawiadomienia z 15.06.2025 r.:</w:t>
      </w:r>
      <w:r>
        <w:t xml:space="preserve"> </w:t>
      </w:r>
      <w:r>
        <w:t xml:space="preserve">Zawiadomienie zostało doręczone osobiście Klientowi w dniu 15 czerwca 2025 r., co jest potwierdzone w aktach [Źródło 3, Źródło 5]. Jednocześnie wysłano je e-mailem.</w:t>
      </w:r>
      <w:r>
        <w:t xml:space="preserve"> </w:t>
      </w:r>
      <w:r>
        <w:rPr>
          <w:b/>
          <w:bCs/>
        </w:rPr>
        <w:t xml:space="preserve">Doręczenie jest zatem skuteczne</w:t>
      </w:r>
      <w:r>
        <w:t xml:space="preserve">, a termin 14 dni na sprzeciw, o którym mowa w §4 ust. 1 umowy [Źródło 3], zaczął biec od tej daty.</w:t>
      </w:r>
    </w:p>
    <w:p>
      <w:pPr>
        <w:pStyle w:val="Compact"/>
        <w:numPr>
          <w:ilvl w:val="0"/>
          <w:numId w:val="1030"/>
        </w:numPr>
      </w:pPr>
      <w:r>
        <w:rPr>
          <w:b/>
          <w:bCs/>
        </w:rPr>
        <w:t xml:space="preserve">Skuteczność sprzeciwu z 22.06.2025 r.:</w:t>
      </w:r>
      <w:r>
        <w:t xml:space="preserve"> </w:t>
      </w:r>
      <w:r>
        <w:t xml:space="preserve">Klient złożył pisemny sprzeciw w dniu 22 czerwca 2025 r. [Źródło 4]. Upłynęło 7 dni od daty doręczenia zawiadomienia. Oznacza to, że</w:t>
      </w:r>
      <w:r>
        <w:t xml:space="preserve"> </w:t>
      </w:r>
      <w:r>
        <w:rPr>
          <w:b/>
          <w:bCs/>
        </w:rPr>
        <w:t xml:space="preserve">sprzeciw został złożony w terminie</w:t>
      </w:r>
      <w:r>
        <w:t xml:space="preserve"> </w:t>
      </w:r>
      <w:r>
        <w:t xml:space="preserve">umownym (14 dni). Argument Wynajmującej o bezskuteczności sprzeciwu jest błędny [Źródło 6].</w:t>
      </w:r>
    </w:p>
    <w:p>
      <w:pPr>
        <w:pStyle w:val="FirstParagraph"/>
      </w:pPr>
      <w:r>
        <w:rPr>
          <w:b/>
          <w:bCs/>
        </w:rPr>
        <w:t xml:space="preserve">D. Prawne skutki dla stron w przypadku nieważności klauzuli §4 ust. 1</w:t>
      </w:r>
    </w:p>
    <w:p>
      <w:pPr>
        <w:pStyle w:val="BodyText"/>
      </w:pPr>
      <w:r>
        <w:t xml:space="preserve">W przypadku uznania §4 ust. 1 za nieważne (abuzywne), zgodnie z</w:t>
      </w:r>
      <w:r>
        <w:t xml:space="preserve"> </w:t>
      </w:r>
      <w:r>
        <w:rPr>
          <w:b/>
          <w:bCs/>
        </w:rPr>
        <w:t xml:space="preserve">art. 385¹ § 2 Kodeksu cywilnego</w:t>
      </w:r>
      <w:r>
        <w:t xml:space="preserve">, strony są związane umową w pozostałym zakresie. Skutki są następujące:</w:t>
      </w:r>
      <w:r>
        <w:t xml:space="preserve"> </w:t>
      </w:r>
      <w:r>
        <w:t xml:space="preserve">*</w:t>
      </w:r>
      <w:r>
        <w:t xml:space="preserve"> </w:t>
      </w:r>
      <w:r>
        <w:rPr>
          <w:b/>
          <w:bCs/>
        </w:rPr>
        <w:t xml:space="preserve">Utrzymanie czynszu na dotychczasowym poziomie:</w:t>
      </w:r>
      <w:r>
        <w:t xml:space="preserve"> </w:t>
      </w:r>
      <w:r>
        <w:t xml:space="preserve">Czynsz najmu pozostaje na poziomie 2 500,00 zł miesięcznie [Źródło 3].</w:t>
      </w:r>
      <w:r>
        <w:t xml:space="preserve"> </w:t>
      </w:r>
      <w:r>
        <w:t xml:space="preserve">*</w:t>
      </w:r>
      <w:r>
        <w:t xml:space="preserve"> </w:t>
      </w:r>
      <w:r>
        <w:rPr>
          <w:b/>
          <w:bCs/>
        </w:rPr>
        <w:t xml:space="preserve">Brak możliwości jednostronnej podwyżki:</w:t>
      </w:r>
      <w:r>
        <w:t xml:space="preserve"> </w:t>
      </w:r>
      <w:r>
        <w:t xml:space="preserve">Wynajmujący nie może skutecznie podwyższyć czynszu na podstawie zakwestionowanej klauzuli.</w:t>
      </w:r>
      <w:r>
        <w:t xml:space="preserve"> </w:t>
      </w:r>
      <w:r>
        <w:t xml:space="preserve">*</w:t>
      </w:r>
      <w:r>
        <w:t xml:space="preserve"> </w:t>
      </w:r>
      <w:r>
        <w:rPr>
          <w:b/>
          <w:bCs/>
        </w:rPr>
        <w:t xml:space="preserve">Sposoby zmiany czynszu:</w:t>
      </w:r>
      <w:r>
        <w:t xml:space="preserve"> </w:t>
      </w:r>
      <w:r>
        <w:t xml:space="preserve">Jedyną prawnie dopuszczalną drogą zmiany wysokości czynszu w umowie najmu na czas oznaczony jest:</w:t>
      </w:r>
      <w:r>
        <w:t xml:space="preserve"> </w:t>
      </w:r>
      <w:r>
        <w:t xml:space="preserve">*</w:t>
      </w:r>
      <w:r>
        <w:t xml:space="preserve"> </w:t>
      </w:r>
      <w:r>
        <w:rPr>
          <w:b/>
          <w:bCs/>
        </w:rPr>
        <w:t xml:space="preserve">Zawarcie aneksu do umowy</w:t>
      </w:r>
      <w:r>
        <w:t xml:space="preserve"> </w:t>
      </w:r>
      <w:r>
        <w:t xml:space="preserve">za zgodą obu stron, w formie pisemnej pod rygorem nieważności (zgodnie z §5 ust. 1 umowy) [Źródło 3].</w:t>
      </w:r>
      <w:r>
        <w:t xml:space="preserve"> </w:t>
      </w:r>
      <w:r>
        <w:t xml:space="preserve">* Wypowiedzenie umowy najmu na czas oznaczony jest możliwe wyłącznie w przypadkach wskazanych w ustawie lub w umowie, jeśli takie postanowienia są zgodne z prawem (art. 673 § 3 KC). Groźba wypowiedzenia umowy z przyczyn gospodarczych [Źródło 6] w kontekście umowy na czas oznaczony może okazać się bezskuteczna, jeśli umowa nie przewiduje takiej możliwości.</w:t>
      </w:r>
    </w:p>
    <w:p>
      <w:pPr>
        <w:pStyle w:val="BodyText"/>
      </w:pPr>
      <w:r>
        <w:rPr>
          <w:b/>
          <w:bCs/>
        </w:rPr>
        <w:t xml:space="preserve">E. Terminy i przedawnienie, roszczenia i odsetki</w:t>
      </w:r>
    </w:p>
    <w:p>
      <w:pPr>
        <w:pStyle w:val="Compact"/>
        <w:numPr>
          <w:ilvl w:val="0"/>
          <w:numId w:val="1031"/>
        </w:numPr>
      </w:pPr>
      <w:r>
        <w:rPr>
          <w:b/>
          <w:bCs/>
        </w:rPr>
        <w:t xml:space="preserve">Roszczenia Wynajmującego wobec Najemcy:</w:t>
      </w:r>
    </w:p>
    <w:p>
      <w:pPr>
        <w:pStyle w:val="Compact"/>
        <w:numPr>
          <w:ilvl w:val="1"/>
          <w:numId w:val="1032"/>
        </w:numPr>
      </w:pPr>
      <w:r>
        <w:t xml:space="preserve">Wynajmujący żąda zapłaty 700,00 zł dodatkowo od 1 sierpnia 2025 r. [Źródło 4]. Wobec nieskuteczności podwyżki,</w:t>
      </w:r>
      <w:r>
        <w:t xml:space="preserve"> </w:t>
      </w:r>
      <w:r>
        <w:rPr>
          <w:b/>
          <w:bCs/>
        </w:rPr>
        <w:t xml:space="preserve">roszczenie to jest bezzasadne</w:t>
      </w:r>
      <w:r>
        <w:t xml:space="preserve">. Klient nie jest zobowiązany do zapłaty tej kwoty.</w:t>
      </w:r>
    </w:p>
    <w:p>
      <w:pPr>
        <w:pStyle w:val="Compact"/>
        <w:numPr>
          <w:ilvl w:val="1"/>
          <w:numId w:val="1032"/>
        </w:numPr>
      </w:pPr>
      <w:r>
        <w:t xml:space="preserve">Jeśli Klient uiściłby tę kwotę, przysługiwałoby mu roszczenie o zwrot nienależnego świadczenia (art. 405 KC).</w:t>
      </w:r>
    </w:p>
    <w:p>
      <w:pPr>
        <w:pStyle w:val="Compact"/>
        <w:numPr>
          <w:ilvl w:val="0"/>
          <w:numId w:val="1031"/>
        </w:numPr>
      </w:pPr>
      <w:r>
        <w:rPr>
          <w:b/>
          <w:bCs/>
        </w:rPr>
        <w:t xml:space="preserve">Odsetki:</w:t>
      </w:r>
    </w:p>
    <w:p>
      <w:pPr>
        <w:pStyle w:val="Compact"/>
        <w:numPr>
          <w:ilvl w:val="1"/>
          <w:numId w:val="1033"/>
        </w:numPr>
      </w:pPr>
      <w:r>
        <w:rPr>
          <w:b/>
          <w:bCs/>
        </w:rPr>
        <w:t xml:space="preserve">Wynajmujący:</w:t>
      </w:r>
      <w:r>
        <w:t xml:space="preserve"> </w:t>
      </w:r>
      <w:r>
        <w:t xml:space="preserve">Nie ma podstaw do naliczania odsetek ustawowych za opóźnienie od kwoty 700,00 zł, ponieważ nie jest to zaległość czynszowa. Odsetki mogłyby być naliczone jedynie od opóźnienia w zapłacie dotychczasowego czynszu (2 500,00 zł).</w:t>
      </w:r>
    </w:p>
    <w:p>
      <w:pPr>
        <w:pStyle w:val="Compact"/>
        <w:numPr>
          <w:ilvl w:val="1"/>
          <w:numId w:val="1033"/>
        </w:numPr>
      </w:pPr>
      <w:r>
        <w:rPr>
          <w:b/>
          <w:bCs/>
        </w:rPr>
        <w:t xml:space="preserve">Klient:</w:t>
      </w:r>
      <w:r>
        <w:t xml:space="preserve"> </w:t>
      </w:r>
      <w:r>
        <w:t xml:space="preserve">W przypadku roszczenia o zwrot nienależnego świadczenia, odsetki ustawowe za opóźnienie (art. 481 § 1 i 2 KC) przysługiwałyby Klientowi od daty wezwania Wynajmującego do zwrotu lub od daty zapłaty nienależnej kwoty.</w:t>
      </w:r>
    </w:p>
    <w:p>
      <w:pPr>
        <w:pStyle w:val="Compact"/>
        <w:numPr>
          <w:ilvl w:val="0"/>
          <w:numId w:val="1031"/>
        </w:numPr>
      </w:pPr>
      <w:r>
        <w:rPr>
          <w:b/>
          <w:bCs/>
        </w:rPr>
        <w:t xml:space="preserve">Terminy przedawnienia:</w:t>
      </w:r>
    </w:p>
    <w:p>
      <w:pPr>
        <w:pStyle w:val="Compact"/>
        <w:numPr>
          <w:ilvl w:val="1"/>
          <w:numId w:val="1034"/>
        </w:numPr>
      </w:pPr>
      <w:r>
        <w:rPr>
          <w:b/>
          <w:bCs/>
        </w:rPr>
        <w:t xml:space="preserve">Roszczenia z tytułu czynszu najmu:</w:t>
      </w:r>
      <w:r>
        <w:t xml:space="preserve"> </w:t>
      </w:r>
      <w:r>
        <w:t xml:space="preserve">Przedawniają się z upływem</w:t>
      </w:r>
      <w:r>
        <w:t xml:space="preserve"> </w:t>
      </w:r>
      <w:r>
        <w:rPr>
          <w:b/>
          <w:bCs/>
        </w:rPr>
        <w:t xml:space="preserve">trzech lat</w:t>
      </w:r>
      <w:r>
        <w:t xml:space="preserve"> </w:t>
      </w:r>
      <w:r>
        <w:t xml:space="preserve">(art. 118 Kodeksu cywilnego), licząc od daty wymagalności każdej miesięcznej płatności.</w:t>
      </w:r>
    </w:p>
    <w:p>
      <w:pPr>
        <w:pStyle w:val="Compact"/>
        <w:numPr>
          <w:ilvl w:val="1"/>
          <w:numId w:val="1034"/>
        </w:numPr>
      </w:pPr>
      <w:r>
        <w:rPr>
          <w:b/>
          <w:bCs/>
        </w:rPr>
        <w:t xml:space="preserve">Roszczenia o zwrot nienależnego świadczenia:</w:t>
      </w:r>
      <w:r>
        <w:t xml:space="preserve"> </w:t>
      </w:r>
      <w:r>
        <w:t xml:space="preserve">Przedawniają się z upływem</w:t>
      </w:r>
      <w:r>
        <w:t xml:space="preserve"> </w:t>
      </w:r>
      <w:r>
        <w:rPr>
          <w:b/>
          <w:bCs/>
        </w:rPr>
        <w:t xml:space="preserve">trzech lat</w:t>
      </w:r>
      <w:r>
        <w:t xml:space="preserve"> </w:t>
      </w:r>
      <w:r>
        <w:t xml:space="preserve">(art. 118 Kodeksu cywilnego) od dnia, w którym świadczenie zostało spełnione.</w:t>
      </w:r>
    </w:p>
    <w:p>
      <w:pPr>
        <w:pStyle w:val="FirstParagraph"/>
      </w:pPr>
      <w:r>
        <w:rPr>
          <w:b/>
          <w:bCs/>
        </w:rPr>
        <w:t xml:space="preserve">F. Kwestie dowodowe i luki w materiałach</w:t>
      </w:r>
    </w:p>
    <w:p>
      <w:pPr>
        <w:pStyle w:val="BodyText"/>
      </w:pPr>
      <w:r>
        <w:t xml:space="preserve">Dla wsparcia stanowiska Klienta należy zgromadzić następujące dowody:</w:t>
      </w:r>
      <w:r>
        <w:t xml:space="preserve"> </w:t>
      </w:r>
      <w:r>
        <w:t xml:space="preserve">1.</w:t>
      </w:r>
      <w:r>
        <w:t xml:space="preserve"> </w:t>
      </w:r>
      <w:r>
        <w:rPr>
          <w:b/>
          <w:bCs/>
        </w:rPr>
        <w:t xml:space="preserve">Umowa najmu nr UM/████/89 z 28.09.2023 r.:</w:t>
      </w:r>
      <w:r>
        <w:t xml:space="preserve"> </w:t>
      </w:r>
      <w:r>
        <w:t xml:space="preserve">Dowód podstawowych warunków umowy [Źródło 3].</w:t>
      </w:r>
      <w:r>
        <w:t xml:space="preserve"> </w:t>
      </w:r>
      <w:r>
        <w:t xml:space="preserve">2.</w:t>
      </w:r>
      <w:r>
        <w:t xml:space="preserve"> </w:t>
      </w:r>
      <w:r>
        <w:rPr>
          <w:b/>
          <w:bCs/>
        </w:rPr>
        <w:t xml:space="preserve">Zawiadomienie o zmianie czynszu z 15.06.2025 r. wraz z potwierdzeniem doręczenia:</w:t>
      </w:r>
      <w:r>
        <w:t xml:space="preserve"> </w:t>
      </w:r>
      <w:r>
        <w:t xml:space="preserve">Dowód daty i treści zawiadomienia [Źródło 3, Źródło 5].</w:t>
      </w:r>
      <w:r>
        <w:t xml:space="preserve"> </w:t>
      </w:r>
      <w:r>
        <w:t xml:space="preserve">3.</w:t>
      </w:r>
      <w:r>
        <w:t xml:space="preserve"> </w:t>
      </w:r>
      <w:r>
        <w:rPr>
          <w:b/>
          <w:bCs/>
        </w:rPr>
        <w:t xml:space="preserve">Pisemny sprzeciw Klienta z 22.06.2025 r. wraz z potwierdzeniem doręczenia:</w:t>
      </w:r>
      <w:r>
        <w:t xml:space="preserve"> </w:t>
      </w:r>
      <w:r>
        <w:t xml:space="preserve">Kluczowy dowód na terminowe i skuteczne zakwestionowanie podwyżki [Źródło 4, Źródło 5].</w:t>
      </w:r>
      <w:r>
        <w:t xml:space="preserve"> </w:t>
      </w:r>
      <w:r>
        <w:t xml:space="preserve">4.</w:t>
      </w:r>
      <w:r>
        <w:t xml:space="preserve"> </w:t>
      </w:r>
      <w:r>
        <w:rPr>
          <w:b/>
          <w:bCs/>
        </w:rPr>
        <w:t xml:space="preserve">Odpowiedź Wynajmującego z 30.06.2025 r. (e-mail):</w:t>
      </w:r>
      <w:r>
        <w:t xml:space="preserve"> </w:t>
      </w:r>
      <w:r>
        <w:t xml:space="preserve">Dowód odrzucenia sprzeciwu przez Wynajmującego [Źródło 4].</w:t>
      </w:r>
      <w:r>
        <w:t xml:space="preserve"> </w:t>
      </w:r>
      <w:r>
        <w:t xml:space="preserve">5.</w:t>
      </w:r>
      <w:r>
        <w:t xml:space="preserve"> </w:t>
      </w:r>
      <w:r>
        <w:rPr>
          <w:b/>
          <w:bCs/>
        </w:rPr>
        <w:t xml:space="preserve">Faktura VAT za sierpień 2025 r. oraz upomnienie z 25.07.2025 r.:</w:t>
      </w:r>
      <w:r>
        <w:t xml:space="preserve"> </w:t>
      </w:r>
      <w:r>
        <w:t xml:space="preserve">Dowody na kontynuowanie żądania podwyższonego czynszu przez Wynajmującego [Źródło 4, Źródło 6].</w:t>
      </w:r>
      <w:r>
        <w:t xml:space="preserve"> </w:t>
      </w:r>
      <w:r>
        <w:t xml:space="preserve">6.</w:t>
      </w:r>
      <w:r>
        <w:t xml:space="preserve"> </w:t>
      </w:r>
      <w:r>
        <w:rPr>
          <w:b/>
          <w:bCs/>
        </w:rPr>
        <w:t xml:space="preserve">Dowody wpłat czynszu (historie przelewów):</w:t>
      </w:r>
      <w:r>
        <w:t xml:space="preserve"> </w:t>
      </w:r>
      <w:r>
        <w:t xml:space="preserve">Potwierdzenie regularnych płatności w dotychczasowej wysokości [Źródło 4].</w:t>
      </w:r>
      <w:r>
        <w:t xml:space="preserve"> </w:t>
      </w:r>
      <w:r>
        <w:t xml:space="preserve">7.</w:t>
      </w:r>
      <w:r>
        <w:t xml:space="preserve"> </w:t>
      </w:r>
      <w:r>
        <w:rPr>
          <w:b/>
          <w:bCs/>
        </w:rPr>
        <w:t xml:space="preserve">Luki:</w:t>
      </w:r>
      <w:r>
        <w:t xml:space="preserve"> </w:t>
      </w:r>
      <w:r>
        <w:t xml:space="preserve">Brak pełnej, szczegółowej kalkulacji podwyżki czynszu od Wynajmującego [Źródło 3, Źródło 5]. Należy ją zażądać w wezwaniu przedsądowym.</w:t>
      </w:r>
    </w:p>
    <w:p>
      <w:pPr>
        <w:pStyle w:val="BodyText"/>
      </w:pPr>
      <w:r>
        <w:rPr>
          <w:b/>
          <w:bCs/>
        </w:rPr>
        <w:t xml:space="preserve">IV. Rejestr ryzyk i szans oraz rekomendowana strategia</w:t>
      </w:r>
    </w:p>
    <w:p>
      <w:pPr>
        <w:pStyle w:val="BodyText"/>
      </w:pPr>
      <w:r>
        <w:rPr>
          <w:b/>
          <w:bCs/>
        </w:rPr>
        <w:t xml:space="preserve">A. Szanse i mocne punkty sprawy Klienta:</w:t>
      </w:r>
      <w:r>
        <w:t xml:space="preserve"> </w:t>
      </w:r>
      <w:r>
        <w:t xml:space="preserve">*</w:t>
      </w:r>
      <w:r>
        <w:t xml:space="preserve"> </w:t>
      </w:r>
      <w:r>
        <w:rPr>
          <w:b/>
          <w:bCs/>
        </w:rPr>
        <w:t xml:space="preserve">Status konsumenta:</w:t>
      </w:r>
      <w:r>
        <w:t xml:space="preserve"> </w:t>
      </w:r>
      <w:r>
        <w:t xml:space="preserve">Zapewnia silną ochronę prawną przed klauzulami abuzywnymi (art. 385¹-³ KC).</w:t>
      </w:r>
      <w:r>
        <w:t xml:space="preserve"> </w:t>
      </w:r>
      <w:r>
        <w:t xml:space="preserve">*</w:t>
      </w:r>
      <w:r>
        <w:t xml:space="preserve"> </w:t>
      </w:r>
      <w:r>
        <w:rPr>
          <w:b/>
          <w:bCs/>
        </w:rPr>
        <w:t xml:space="preserve">Abuzywność klauzuli:</w:t>
      </w:r>
      <w:r>
        <w:t xml:space="preserve"> </w:t>
      </w:r>
      <w:r>
        <w:t xml:space="preserve">Wysokie prawdopodobieństwo uznania §4 ust. 1 za nieważne ze względu na jednostronność i mechanizm domniemanej zgody.</w:t>
      </w:r>
      <w:r>
        <w:t xml:space="preserve"> </w:t>
      </w:r>
      <w:r>
        <w:t xml:space="preserve">*</w:t>
      </w:r>
      <w:r>
        <w:t xml:space="preserve"> </w:t>
      </w:r>
      <w:r>
        <w:rPr>
          <w:b/>
          <w:bCs/>
        </w:rPr>
        <w:t xml:space="preserve">Terminowy sprzeciw:</w:t>
      </w:r>
      <w:r>
        <w:t xml:space="preserve"> </w:t>
      </w:r>
      <w:r>
        <w:t xml:space="preserve">Złożony w terminie sprzeciw uniemożliwia Wynajmującemu powołanie się na umowną</w:t>
      </w:r>
      <w:r>
        <w:t xml:space="preserve"> </w:t>
      </w:r>
      <w:r>
        <w:t xml:space="preserve">“akceptację”</w:t>
      </w:r>
      <w:r>
        <w:t xml:space="preserve"> </w:t>
      </w:r>
      <w:r>
        <w:t xml:space="preserve">podwyżki.</w:t>
      </w:r>
      <w:r>
        <w:t xml:space="preserve"> </w:t>
      </w:r>
      <w:r>
        <w:t xml:space="preserve">*</w:t>
      </w:r>
      <w:r>
        <w:t xml:space="preserve"> </w:t>
      </w:r>
      <w:r>
        <w:rPr>
          <w:b/>
          <w:bCs/>
        </w:rPr>
        <w:t xml:space="preserve">Umowa na czas oznaczony:</w:t>
      </w:r>
      <w:r>
        <w:t xml:space="preserve"> </w:t>
      </w:r>
      <w:r>
        <w:t xml:space="preserve">Ogranicza możliwości wypowiedzenia umowy przez Wynajmującego.</w:t>
      </w:r>
    </w:p>
    <w:p>
      <w:pPr>
        <w:pStyle w:val="BodyText"/>
      </w:pPr>
      <w:r>
        <w:rPr>
          <w:b/>
          <w:bCs/>
        </w:rPr>
        <w:t xml:space="preserve">B. Ryzyka i słabe punkty sprawy Klienta:</w:t>
      </w:r>
      <w:r>
        <w:t xml:space="preserve"> </w:t>
      </w:r>
      <w:r>
        <w:t xml:space="preserve">*</w:t>
      </w:r>
      <w:r>
        <w:t xml:space="preserve"> </w:t>
      </w:r>
      <w:r>
        <w:rPr>
          <w:b/>
          <w:bCs/>
        </w:rPr>
        <w:t xml:space="preserve">Koszty sądowe:</w:t>
      </w:r>
      <w:r>
        <w:t xml:space="preserve"> </w:t>
      </w:r>
      <w:r>
        <w:t xml:space="preserve">W przypadku przegranej procesowej, Klient może zostać obciążony kosztami postępowania.</w:t>
      </w:r>
      <w:r>
        <w:t xml:space="preserve"> </w:t>
      </w:r>
      <w:r>
        <w:t xml:space="preserve">*</w:t>
      </w:r>
      <w:r>
        <w:t xml:space="preserve"> </w:t>
      </w:r>
      <w:r>
        <w:rPr>
          <w:b/>
          <w:bCs/>
        </w:rPr>
        <w:t xml:space="preserve">Groźba wypowiedzenia umowy:</w:t>
      </w:r>
      <w:r>
        <w:t xml:space="preserve"> </w:t>
      </w:r>
      <w:r>
        <w:t xml:space="preserve">Mimo umowy na czas oznaczony, Wynajmujący zagroził wypowiedzeniem [Źródło 6]. Chociaż bezpodstawne wypowiedzenie byłoby nieskuteczne, może wywołać dodatkowy spór.</w:t>
      </w:r>
      <w:r>
        <w:t xml:space="preserve"> </w:t>
      </w:r>
      <w:r>
        <w:t xml:space="preserve">*</w:t>
      </w:r>
      <w:r>
        <w:t xml:space="preserve"> </w:t>
      </w:r>
      <w:r>
        <w:rPr>
          <w:b/>
          <w:bCs/>
        </w:rPr>
        <w:t xml:space="preserve">Długotrwałość postępowania:</w:t>
      </w:r>
      <w:r>
        <w:t xml:space="preserve"> </w:t>
      </w:r>
      <w:r>
        <w:t xml:space="preserve">Proces sądowy może być czasochłonny.</w:t>
      </w:r>
    </w:p>
    <w:p>
      <w:pPr>
        <w:pStyle w:val="BodyText"/>
      </w:pPr>
      <w:r>
        <w:rPr>
          <w:b/>
          <w:bCs/>
        </w:rPr>
        <w:t xml:space="preserve">C. Kontrargumenty Wynajmującego:</w:t>
      </w:r>
      <w:r>
        <w:t xml:space="preserve"> </w:t>
      </w:r>
      <w:r>
        <w:t xml:space="preserve">* Wynajmujący będzie obstawał przy ważności §4 ust. 1 umowy i twierdził, że Klient nie złożył sprzeciwu w terminie lub że podwyżka jest uzasadniona ekonomicznie [Źródło 6].</w:t>
      </w:r>
    </w:p>
    <w:p>
      <w:pPr>
        <w:pStyle w:val="BodyText"/>
      </w:pPr>
      <w:r>
        <w:rPr>
          <w:b/>
          <w:bCs/>
        </w:rPr>
        <w:t xml:space="preserve">D. Rekomendowana strategia:</w:t>
      </w:r>
    </w:p>
    <w:p>
      <w:pPr>
        <w:pStyle w:val="BodyText"/>
      </w:pPr>
      <w:r>
        <w:rPr>
          <w:b/>
          <w:bCs/>
        </w:rPr>
        <w:t xml:space="preserve">Etap 1: Postępowanie przedsądowe (Wezwanie przedsądowe)</w:t>
      </w:r>
      <w:r>
        <w:t xml:space="preserve"> </w:t>
      </w:r>
      <w:r>
        <w:t xml:space="preserve">1.</w:t>
      </w:r>
      <w:r>
        <w:t xml:space="preserve"> </w:t>
      </w:r>
      <w:r>
        <w:rPr>
          <w:b/>
          <w:bCs/>
        </w:rPr>
        <w:t xml:space="preserve">Czynność:</w:t>
      </w:r>
      <w:r>
        <w:t xml:space="preserve"> </w:t>
      </w:r>
      <w:r>
        <w:t xml:space="preserve">Niezwłoczne sporządzenie i wysłanie Wezwania Przedsądowego (patrz wzór w pkt 9.1) do Wynajmującego.</w:t>
      </w:r>
      <w:r>
        <w:t xml:space="preserve"> </w:t>
      </w:r>
      <w:r>
        <w:t xml:space="preserve">2.</w:t>
      </w:r>
      <w:r>
        <w:t xml:space="preserve"> </w:t>
      </w:r>
      <w:r>
        <w:rPr>
          <w:b/>
          <w:bCs/>
        </w:rPr>
        <w:t xml:space="preserve">Cel:</w:t>
      </w:r>
      <w:r>
        <w:t xml:space="preserve"> </w:t>
      </w:r>
      <w:r>
        <w:t xml:space="preserve">Uświadomienie Wynajmującemu bezprawności jego działań, wskazanie na abuzywność klauzuli oraz terminowy sprzeciw Klienta. Wezwanie powinno zawierać konkretne żądania (utrzymanie czynszu w dotychczasowej wysokości, zaniechanie naliczania podwyżki) i informację o konsekwencjach prawnych w razie braku ustosunkowania się. W wezwaniu należy również zażądać pełnej kalkulacji ewentualnej podwyżki.</w:t>
      </w:r>
      <w:r>
        <w:t xml:space="preserve"> </w:t>
      </w:r>
      <w:r>
        <w:t xml:space="preserve">3.</w:t>
      </w:r>
      <w:r>
        <w:t xml:space="preserve"> </w:t>
      </w:r>
      <w:r>
        <w:rPr>
          <w:b/>
          <w:bCs/>
        </w:rPr>
        <w:t xml:space="preserve">Termin:</w:t>
      </w:r>
      <w:r>
        <w:t xml:space="preserve"> </w:t>
      </w:r>
      <w:r>
        <w:t xml:space="preserve">Należy wyznaczyć Wynajmującemu 14-dniowy termin na odpowiedź.</w:t>
      </w:r>
      <w:r>
        <w:t xml:space="preserve"> </w:t>
      </w:r>
      <w:r>
        <w:t xml:space="preserve">4.</w:t>
      </w:r>
      <w:r>
        <w:t xml:space="preserve"> </w:t>
      </w:r>
      <w:r>
        <w:rPr>
          <w:b/>
          <w:bCs/>
        </w:rPr>
        <w:t xml:space="preserve">Znaczenie:</w:t>
      </w:r>
      <w:r>
        <w:t xml:space="preserve"> </w:t>
      </w:r>
      <w:r>
        <w:t xml:space="preserve">Wzmacnia pozycję Klienta, daje szansę na polubowne rozwiązanie sporu i stanowi formalne udokumentowanie próby ugodowej, co może być istotne w ewentualnym procesie sądowym.</w:t>
      </w:r>
    </w:p>
    <w:p>
      <w:pPr>
        <w:pStyle w:val="BodyText"/>
      </w:pPr>
      <w:r>
        <w:rPr>
          <w:b/>
          <w:bCs/>
        </w:rPr>
        <w:t xml:space="preserve">Etap 2: Postępowanie sądowe (w przypadku braku pozytywnej odpowiedzi lub dalszego obstawania przy podwyżce)</w:t>
      </w:r>
      <w:r>
        <w:t xml:space="preserve"> </w:t>
      </w:r>
      <w:r>
        <w:t xml:space="preserve">1.</w:t>
      </w:r>
      <w:r>
        <w:t xml:space="preserve"> </w:t>
      </w:r>
      <w:r>
        <w:rPr>
          <w:b/>
          <w:bCs/>
        </w:rPr>
        <w:t xml:space="preserve">Czynność:</w:t>
      </w:r>
      <w:r>
        <w:t xml:space="preserve"> </w:t>
      </w:r>
      <w:r>
        <w:t xml:space="preserve">Przygotowanie i złożenie do Sądu Rejonowego (wydział cywilny)</w:t>
      </w:r>
      <w:r>
        <w:t xml:space="preserve"> </w:t>
      </w:r>
      <w:r>
        <w:rPr>
          <w:b/>
          <w:bCs/>
        </w:rPr>
        <w:t xml:space="preserve">Pozwu o ustalenie (wariant A)</w:t>
      </w:r>
      <w:r>
        <w:t xml:space="preserve">, że jednostronna zmiana czynszu z dnia 15.06.2025 r. jest nieskuteczna/bezskuteczna [Źródło 7].</w:t>
      </w:r>
      <w:r>
        <w:t xml:space="preserve"> </w:t>
      </w:r>
      <w:r>
        <w:t xml:space="preserve">2.</w:t>
      </w:r>
      <w:r>
        <w:t xml:space="preserve"> </w:t>
      </w:r>
      <w:r>
        <w:rPr>
          <w:b/>
          <w:bCs/>
        </w:rPr>
        <w:t xml:space="preserve">Wniosek o zabezpieczenie:</w:t>
      </w:r>
      <w:r>
        <w:t xml:space="preserve"> </w:t>
      </w:r>
      <w:r>
        <w:t xml:space="preserve">Równocześnie z pozwem lub odrębnie, złożenie</w:t>
      </w:r>
      <w:r>
        <w:t xml:space="preserve"> </w:t>
      </w:r>
      <w:r>
        <w:rPr>
          <w:b/>
          <w:bCs/>
        </w:rPr>
        <w:t xml:space="preserve">Wniosku o zabezpieczenie sądowe</w:t>
      </w:r>
      <w:r>
        <w:t xml:space="preserve">, wnosząc o zakaz naliczania i egzekwowania nowej, wyższej stawki czynszu do czasu prawomocnego rozstrzygnięcia sprawy [Źródło 7]. Zabezpieczenie jest kluczowe, aby chronić Klienta przed roszczeniami Wynajmującego w trakcie procesu i ewentualnym wypowiedzeniem umowy.</w:t>
      </w:r>
      <w:r>
        <w:t xml:space="preserve"> </w:t>
      </w:r>
      <w:r>
        <w:t xml:space="preserve">3.</w:t>
      </w:r>
      <w:r>
        <w:t xml:space="preserve"> </w:t>
      </w:r>
      <w:r>
        <w:rPr>
          <w:b/>
          <w:bCs/>
        </w:rPr>
        <w:t xml:space="preserve">Cel:</w:t>
      </w:r>
      <w:r>
        <w:t xml:space="preserve"> </w:t>
      </w:r>
      <w:r>
        <w:t xml:space="preserve">Uzyskanie prawomocnego orzeczenia sądu potwierdzającego, że podwyżka czynszu jest nieskuteczna, co definitywnie rozwiąże spór.</w:t>
      </w:r>
    </w:p>
    <w:p>
      <w:pPr>
        <w:pStyle w:val="BodyText"/>
      </w:pPr>
      <w:r>
        <w:rPr>
          <w:b/>
          <w:bCs/>
        </w:rPr>
        <w:t xml:space="preserve">V. Wniosek końcowy</w:t>
      </w:r>
    </w:p>
    <w:p>
      <w:pPr>
        <w:pStyle w:val="BodyText"/>
      </w:pPr>
      <w:r>
        <w:t xml:space="preserve">Działania Wynajmującej, Pani A. K., zmierzające do jednostronnej podwyżki czynszu najmu są w świetle przedstawionego stanu faktycznego i obowiązujących przepisów prawa cywilnego</w:t>
      </w:r>
      <w:r>
        <w:t xml:space="preserve"> </w:t>
      </w:r>
      <w:r>
        <w:rPr>
          <w:b/>
          <w:bCs/>
        </w:rPr>
        <w:t xml:space="preserve">nieskuteczne</w:t>
      </w:r>
      <w:r>
        <w:t xml:space="preserve">. Wynika to z abuzywnego charakteru klauzuli umownej uprawniającej do takiej zmiany (§4 ust. 1 umowy) oraz z faktu terminowego złożenia sprzeciwu przez Klienta.</w:t>
      </w:r>
    </w:p>
    <w:p>
      <w:pPr>
        <w:pStyle w:val="BodyText"/>
      </w:pPr>
      <w:r>
        <w:t xml:space="preserve">Innymi słowy: Klient nie jest zobowiązany do zapłaty podwyższonego czynszu, a Wynajmujący nie ma podstaw do naliczania odsetek ani wypowiedzenia umowy z powodu nieuiszczenia kwoty powyżej 2 500,00 zł.</w:t>
      </w:r>
    </w:p>
    <w:p>
      <w:r>
        <w:pict>
          <v:rect style="width:0;height:1.5pt" o:hralign="center" o:hrstd="t" o:hr="t"/>
        </w:pict>
      </w:r>
    </w:p>
    <w:bookmarkEnd w:id="29"/>
    <w:bookmarkStart w:id="30" w:name="X4c1e4d6f4e02a438fc9b3728fca5c273f0c99fe"/>
    <w:p>
      <w:pPr>
        <w:pStyle w:val="Heading3"/>
      </w:pPr>
      <w:r>
        <w:t xml:space="preserve">9.3. Pozew do Sądu Rejonowego (wariant A: o ustalenie nieskuteczności podwyżki)</w:t>
      </w:r>
    </w:p>
    <w:p>
      <w:pPr>
        <w:pStyle w:val="FirstParagraph"/>
      </w:pPr>
      <w:r>
        <w:rPr>
          <w:b/>
          <w:bCs/>
        </w:rPr>
        <w:t xml:space="preserve">Sąd Rejonowy [miejscowość, np. dla Warszawy-Śródmieścia]</w:t>
      </w:r>
      <w:r>
        <w:t xml:space="preserve"> </w:t>
      </w:r>
      <w:r>
        <w:rPr>
          <w:b/>
          <w:bCs/>
        </w:rPr>
        <w:t xml:space="preserve">Wydział Cywilny</w:t>
      </w:r>
      <w:r>
        <w:t xml:space="preserve"> </w:t>
      </w:r>
      <w:r>
        <w:rPr>
          <w:b/>
          <w:bCs/>
        </w:rPr>
        <w:t xml:space="preserve">[Adres Sądu]</w:t>
      </w:r>
    </w:p>
    <w:p>
      <w:pPr>
        <w:pStyle w:val="BodyText"/>
      </w:pPr>
      <w:r>
        <w:rPr>
          <w:b/>
          <w:bCs/>
        </w:rPr>
        <w:t xml:space="preserve">Powód:</w:t>
      </w:r>
      <w:r>
        <w:t xml:space="preserve"> </w:t>
      </w:r>
      <w:r>
        <w:t xml:space="preserve">Pan J. N.</w:t>
      </w:r>
    </w:p>
    <w:p>
      <w:pPr>
        <w:pStyle w:val="BodyText"/>
      </w:pPr>
      <w:r>
        <w:t xml:space="preserve">Warszawa</w:t>
      </w:r>
      <w:r>
        <w:t xml:space="preserve"> </w:t>
      </w:r>
      <w:r>
        <w:t xml:space="preserve">PESEL ███████████</w:t>
      </w:r>
    </w:p>
    <w:p>
      <w:pPr>
        <w:pStyle w:val="BodyText"/>
      </w:pPr>
      <w:r>
        <w:rPr>
          <w:b/>
          <w:bCs/>
        </w:rPr>
        <w:t xml:space="preserve">Pozwana:</w:t>
      </w:r>
      <w:r>
        <w:t xml:space="preserve"> </w:t>
      </w:r>
      <w:r>
        <w:t xml:space="preserve">Pani A. K.</w:t>
      </w:r>
    </w:p>
    <w:p>
      <w:pPr>
        <w:pStyle w:val="BodyText"/>
      </w:pPr>
      <w:r>
        <w:t xml:space="preserve">Warszawa</w:t>
      </w:r>
      <w:r>
        <w:t xml:space="preserve"> </w:t>
      </w:r>
      <w:r>
        <w:t xml:space="preserve">PESEL ███████████</w:t>
      </w:r>
    </w:p>
    <w:p>
      <w:pPr>
        <w:pStyle w:val="BodyText"/>
      </w:pPr>
      <w:r>
        <w:rPr>
          <w:b/>
          <w:bCs/>
        </w:rPr>
        <w:t xml:space="preserve">Wartość przedmiotu sporu (WPS):</w:t>
      </w:r>
      <w:r>
        <w:t xml:space="preserve"> </w:t>
      </w:r>
      <w:r>
        <w:t xml:space="preserve">1 750,00 zł</w:t>
      </w:r>
      <w:r>
        <w:t xml:space="preserve"> </w:t>
      </w:r>
      <w:r>
        <w:t xml:space="preserve">(Różnica w czynszu za okres 2 miesięcy: 2 x 700,00 zł = 1 400,00 zł, plus szacunkowe koszty procesu, art. 19 KPC)</w:t>
      </w:r>
    </w:p>
    <w:p>
      <w:pPr>
        <w:pStyle w:val="BodyText"/>
      </w:pPr>
      <w:r>
        <w:rPr>
          <w:b/>
          <w:bCs/>
        </w:rPr>
        <w:t xml:space="preserve">Opłata sądowa:</w:t>
      </w:r>
      <w:r>
        <w:t xml:space="preserve"> </w:t>
      </w:r>
      <w:r>
        <w:t xml:space="preserve">[według bieżących stawek – 5% od WPS]</w:t>
      </w:r>
    </w:p>
    <w:p>
      <w:pPr>
        <w:pStyle w:val="BodyText"/>
      </w:pPr>
      <w:r>
        <w:rPr>
          <w:b/>
          <w:bCs/>
        </w:rPr>
        <w:t xml:space="preserve">POZEW O USTALENIE</w:t>
      </w:r>
    </w:p>
    <w:p>
      <w:pPr>
        <w:pStyle w:val="BodyText"/>
      </w:pPr>
      <w:r>
        <w:t xml:space="preserve">Wnoszę o:</w:t>
      </w:r>
    </w:p>
    <w:p>
      <w:pPr>
        <w:pStyle w:val="Compact"/>
        <w:numPr>
          <w:ilvl w:val="0"/>
          <w:numId w:val="1035"/>
        </w:numPr>
      </w:pPr>
      <w:r>
        <w:t xml:space="preserve">Ustalenie, że postanowienie §4 ust. 1 umowy najmu okazjonalnego lokalu mieszkalnego nr UM/████/89 z dnia 28 września 2023 r., zawartej pomiędzy Powodem Panem J. N. a Pozwaną Panią A. K., jest niedozwolonym postanowieniem umownym w rozumieniu art. 385¹ Kodeksu cywilnego i nie wiąże Powoda.</w:t>
      </w:r>
    </w:p>
    <w:p>
      <w:pPr>
        <w:pStyle w:val="Compact"/>
        <w:numPr>
          <w:ilvl w:val="0"/>
          <w:numId w:val="1035"/>
        </w:numPr>
      </w:pPr>
      <w:r>
        <w:t xml:space="preserve">Ustalenie, że zawiadomienie Pozwanej z dnia 15 czerwca 2025 r. o zmianie wysokości czynszu najmu za lokal mieszkalny położony w Warszawie z dniem 1 sierpnia 2025 r. jest bezskuteczne.</w:t>
      </w:r>
    </w:p>
    <w:p>
      <w:pPr>
        <w:pStyle w:val="Compact"/>
        <w:numPr>
          <w:ilvl w:val="0"/>
          <w:numId w:val="1035"/>
        </w:numPr>
      </w:pPr>
      <w:r>
        <w:t xml:space="preserve">Ustalenie, że wysokość czynszu najmu za ww. lokal mieszkalny, na podstawie umowy najmu nr UM/████/89 z dnia 28 września 2023 r., wynosi 2 500,00 zł (dwa tysiące pięćset złotych) miesięcznie.</w:t>
      </w:r>
    </w:p>
    <w:p>
      <w:pPr>
        <w:pStyle w:val="Compact"/>
        <w:numPr>
          <w:ilvl w:val="0"/>
          <w:numId w:val="1035"/>
        </w:numPr>
      </w:pPr>
      <w:r>
        <w:t xml:space="preserve">Zasądzenie od Pozwanej na rzecz Powoda kosztów postępowania, w tym kosztów zastępstwa procesowego, według norm przepisanych.</w:t>
      </w:r>
    </w:p>
    <w:p>
      <w:pPr>
        <w:pStyle w:val="FirstParagraph"/>
      </w:pPr>
      <w:r>
        <w:rPr>
          <w:b/>
          <w:bCs/>
        </w:rPr>
        <w:t xml:space="preserve">Wnioski dowodowe:</w:t>
      </w:r>
    </w:p>
    <w:p>
      <w:pPr>
        <w:pStyle w:val="Compact"/>
        <w:numPr>
          <w:ilvl w:val="0"/>
          <w:numId w:val="1036"/>
        </w:numPr>
      </w:pPr>
      <w:r>
        <w:t xml:space="preserve">Dowód z dokumentu: Umowa najmu okazjonalnego nr UM/████/89 z dnia 28 września 2023 r. [Źródło 3] – na okoliczność treści stosunku prawnego łączącego strony oraz postanowień dotyczących czynszu i jego zmiany.</w:t>
      </w:r>
    </w:p>
    <w:p>
      <w:pPr>
        <w:pStyle w:val="Compact"/>
        <w:numPr>
          <w:ilvl w:val="0"/>
          <w:numId w:val="1036"/>
        </w:numPr>
      </w:pPr>
      <w:r>
        <w:t xml:space="preserve">Dowód z dokumentu: Zawiadomienie Pozwanej o zmianie wysokości czynszu z dnia 15 czerwca 2025 r. [Źródło 3] – na okoliczność treści i daty doręczenia zawiadomienia o podwyżce.</w:t>
      </w:r>
    </w:p>
    <w:p>
      <w:pPr>
        <w:pStyle w:val="Compact"/>
        <w:numPr>
          <w:ilvl w:val="0"/>
          <w:numId w:val="1036"/>
        </w:numPr>
      </w:pPr>
      <w:r>
        <w:t xml:space="preserve">Dowód z dokumentu: Pisemny sprzeciw Powoda z dnia 22 czerwca 2025 r. [Źródło 4] – na okoliczność terminowego i skutecznego wyrażenia sprzeciwu wobec podwyżki.</w:t>
      </w:r>
    </w:p>
    <w:p>
      <w:pPr>
        <w:pStyle w:val="Compact"/>
        <w:numPr>
          <w:ilvl w:val="0"/>
          <w:numId w:val="1036"/>
        </w:numPr>
      </w:pPr>
      <w:r>
        <w:t xml:space="preserve">Dowód z dokumentu: Odpowiedź Pozwanej z dnia 30 czerwca 2025 r. [Źródło 4] – na okoliczność odrzucenia sprzeciwu Powoda i podtrzymania stanowiska o podwyżce.</w:t>
      </w:r>
    </w:p>
    <w:p>
      <w:pPr>
        <w:pStyle w:val="Compact"/>
        <w:numPr>
          <w:ilvl w:val="0"/>
          <w:numId w:val="1036"/>
        </w:numPr>
      </w:pPr>
      <w:r>
        <w:t xml:space="preserve">Dowód z dokumentu: Faktura VAT za sierpień 2025 r. na kwotę 3 200,00 zł [Źródło 4] – na okoliczność żądania przez Pozwaną podwyższonego czynszu.</w:t>
      </w:r>
    </w:p>
    <w:p>
      <w:pPr>
        <w:pStyle w:val="Compact"/>
        <w:numPr>
          <w:ilvl w:val="0"/>
          <w:numId w:val="1036"/>
        </w:numPr>
      </w:pPr>
      <w:r>
        <w:t xml:space="preserve">Dowód z dokumentu: Upomnienie Pozwanej z dnia 25 lipca 2025 r. [Źródło 6] – na okoliczność kontynuowania żądania podwyższonego czynszu i zagrożenia wypowiedzeniem umowy.</w:t>
      </w:r>
    </w:p>
    <w:p>
      <w:pPr>
        <w:pStyle w:val="Compact"/>
        <w:numPr>
          <w:ilvl w:val="0"/>
          <w:numId w:val="1036"/>
        </w:numPr>
      </w:pPr>
      <w:r>
        <w:t xml:space="preserve">Dowód z dokumentu: Potwierdzenia przelewów bankowych za czynsz najmu (za okres od października 2023 r. do lipca 2025 r.) [Źródło 4] – na okoliczność regularnego i terminowego uiszczania czynszu przez Powoda w dotychczasowej wysokości.</w:t>
      </w:r>
    </w:p>
    <w:p>
      <w:pPr>
        <w:pStyle w:val="Compact"/>
        <w:numPr>
          <w:ilvl w:val="0"/>
          <w:numId w:val="1036"/>
        </w:numPr>
      </w:pPr>
      <w:r>
        <w:t xml:space="preserve">Dowód z przesłuchania stron: Powoda i Pozwanej – na okoliczności zawarcia i wykonywania umowy najmu, przebiegu negocjacji (lub ich braku) postanowienia §4 ust. 1, doręczenia i treści zawiadomienia o podwyżce oraz sprzeciwu, a także uzasadnienia podwyżki i przyczyn odmowy jej akceptacji.</w:t>
      </w:r>
    </w:p>
    <w:p>
      <w:pPr>
        <w:pStyle w:val="FirstParagraph"/>
      </w:pPr>
      <w:r>
        <w:rPr>
          <w:b/>
          <w:bCs/>
        </w:rPr>
        <w:t xml:space="preserve">Uzasadnienie:</w:t>
      </w:r>
    </w:p>
    <w:p>
      <w:pPr>
        <w:pStyle w:val="BodyText"/>
      </w:pPr>
      <w:r>
        <w:t xml:space="preserve">Powód Pan J. N. jest Najemcą lokalu mieszkalnego w Warszawie na podstawie umowy najmu okazjonalnego nr UM/████/89 z dnia 28 września 2023 r. [Źródło 3]. Umowa została zawarta na czas oznaczony od 1 października 2023 r. do 30 września 2025 r. [Źródło 3]. Miesięczny czynsz najmu wynosił 2 500,00 zł [Źródło 3].</w:t>
      </w:r>
    </w:p>
    <w:p>
      <w:pPr>
        <w:pStyle w:val="BodyText"/>
      </w:pPr>
      <w:r>
        <w:t xml:space="preserve">Powód jest konsumentem w rozumieniu art. 22¹ Kodeksu cywilnego, co oznacza, że przysługuje mu ochrona przed niedozwolonymi postanowieniami umownymi.</w:t>
      </w:r>
    </w:p>
    <w:p>
      <w:pPr>
        <w:pStyle w:val="BodyText"/>
      </w:pPr>
      <w:r>
        <w:t xml:space="preserve">W dniu 15 czerwca 2025 r. Pozwana doręczyła Powodowi zawiadomienie o podwyższeniu czynszu do 3 200,00 zł od 1 sierpnia 2025 r. [Źródło 3]. Podstawą prawną podwyżki miało być §4 ust. 1 umowy, które stanowi, że Wynajmujący zastrzega sobie prawo do jednostronnej zmiany wysokości czynszu, a brak sprzeciwu Najemcy w ciągu 14 dni od doręczenia zawiadomienia oznacza akceptację nowej wysokości [Źródło 3].</w:t>
      </w:r>
    </w:p>
    <w:p>
      <w:pPr>
        <w:pStyle w:val="BodyText"/>
      </w:pPr>
      <w:r>
        <w:t xml:space="preserve">Powyższe postanowienie §4 ust. 1 umowy jest sprzeczne z dobrymi obyczajami i rażąco narusza interesy Powoda jako konsumenta, przez co stanowi niedozwolone postanowienie umowne w rozumieniu art. 385¹ § 1 Kodeksu cywilnego. Klauzula ta, nieuzgodniona indywidualnie, daje Pozwanej jednostronne prawo do zmiany ceny bez wyraźnych, obiektywnych i weryfikowalnych kryteriów, jednocześnie wprowadzając mechanizm „milczącej zgody” Najemcy, co w świetle orzecznictwa sądowego jest uznawane za niedopuszczalne. Ponadto, postanowienie to odpowiada przykładowym klauzulom niedozwolonym z art. 385³ pkt 20 i 21 Kodeksu cywilnego, które dotyczą jednostronnej zmiany umowy lub ceny bez przyznania konsumentowi prawa odstąpienia.</w:t>
      </w:r>
    </w:p>
    <w:p>
      <w:pPr>
        <w:pStyle w:val="BodyText"/>
      </w:pPr>
      <w:r>
        <w:t xml:space="preserve">Nawet gdyby uznać postanowienie §4 ust. 1 za ważne, Powód złożył pisemny sprzeciw w dniu 22 czerwca 2025 r. [Źródło 4], czyli w terminie 7 dni od daty doręczenia zawiadomienia (15 czerwca 2025 r.), a więc w terminie 14 dni przewidzianym w umowie [Źródło 3]. W związku z tym, argumentacja Pozwanej o „cichym zaakceptowaniu” podwyżki i bezskuteczności sprzeciwu [Źródło 6] jest pozbawiona podstaw.</w:t>
      </w:r>
    </w:p>
    <w:p>
      <w:pPr>
        <w:pStyle w:val="BodyText"/>
      </w:pPr>
      <w:r>
        <w:t xml:space="preserve">Powód ma interes prawny w ustaleniu (art. 189 KPC) bezskuteczności podwyżki i utrzymania dotychczasowej wysokości czynszu, gdyż Wynajmujący wystawia faktury na wyższą kwotę i grozi wypowiedzeniem umowy, co stwarza stan niepewności prawnej i może prowadzić do dalszych roszczeń finansowych oraz działań windykacyjnych [Źródło 4, Źródło 6].</w:t>
      </w:r>
    </w:p>
    <w:p>
      <w:pPr>
        <w:pStyle w:val="BodyText"/>
      </w:pPr>
      <w:r>
        <w:t xml:space="preserve">Mając na uwadze powyższe, wniesienie niniejszego pozwu jest uzasadnione.</w:t>
      </w:r>
    </w:p>
    <w:p>
      <w:pPr>
        <w:pStyle w:val="BodyText"/>
      </w:pPr>
      <w:r>
        <w:rPr>
          <w:b/>
          <w:bCs/>
        </w:rPr>
        <w:t xml:space="preserve">Informacja o próbie mediacji lub innego pozasądowego sposobu rozwiązania sporu (art. 187 § 1 pkt 3 KPC):</w:t>
      </w:r>
      <w:r>
        <w:t xml:space="preserve"> </w:t>
      </w:r>
      <w:r>
        <w:t xml:space="preserve">Strony podjęły próbę pozasądowego rozwiązania sporu poprzez wymianę pism. Powód złożył sprzeciw wobec podwyżki, a następnie wezwanie przedsądowe [Źródło 4, Źródło 6]. Pozwana odrzuciła sprzeciw i podtrzymała stanowisko o podwyżce, odmawiając negocjacji [Źródło 4]. W związku z tym, dalsze próby pozasądowego rozwiązania sporu nie rokują powodzenia.</w:t>
      </w:r>
    </w:p>
    <w:p>
      <w:pPr>
        <w:pStyle w:val="BodyText"/>
      </w:pPr>
      <w:r>
        <w:rPr>
          <w:b/>
          <w:bCs/>
        </w:rPr>
        <w:t xml:space="preserve">Załączniki:</w:t>
      </w:r>
      <w:r>
        <w:t xml:space="preserve"> </w:t>
      </w:r>
      <w:r>
        <w:t xml:space="preserve">1. Umowa najmu okazjonalnego nr UM/████/89 z dnia 28.09.2023 r. (kserokopia poświadczona za zgodność z oryginałem) [Źródło 3].</w:t>
      </w:r>
      <w:r>
        <w:t xml:space="preserve"> </w:t>
      </w:r>
      <w:r>
        <w:t xml:space="preserve">2. Zawiadomienie Pozwanej o zmianie wysokości czynszu z dnia 15.06.2025 r. [Źródło 3].</w:t>
      </w:r>
      <w:r>
        <w:t xml:space="preserve"> </w:t>
      </w:r>
      <w:r>
        <w:t xml:space="preserve">3. Pisemny sprzeciw Powoda z dnia 22.06.2025 r. wraz z potwierdzeniem odbioru [Źródło 4].</w:t>
      </w:r>
      <w:r>
        <w:t xml:space="preserve"> </w:t>
      </w:r>
      <w:r>
        <w:t xml:space="preserve">4. Odpowiedź Pozwanej z dnia 30.06.2025 r. [Źródło 4].</w:t>
      </w:r>
      <w:r>
        <w:t xml:space="preserve"> </w:t>
      </w:r>
      <w:r>
        <w:t xml:space="preserve">5. Faktura VAT za sierpień 2025 r. [Źródło 4].</w:t>
      </w:r>
      <w:r>
        <w:t xml:space="preserve"> </w:t>
      </w:r>
      <w:r>
        <w:t xml:space="preserve">6. Upomnienie Pozwanej z dnia 25.07.2025 r. [Źródło 6].</w:t>
      </w:r>
      <w:r>
        <w:t xml:space="preserve"> </w:t>
      </w:r>
      <w:r>
        <w:t xml:space="preserve">7. Potwierdzenia przelewów bankowych czynszu (historia konta) [Źródło 4].</w:t>
      </w:r>
      <w:r>
        <w:t xml:space="preserve"> </w:t>
      </w:r>
      <w:r>
        <w:t xml:space="preserve">8. Dowód uiszczenia opłaty sądowej.</w:t>
      </w:r>
      <w:r>
        <w:t xml:space="preserve"> </w:t>
      </w:r>
      <w:r>
        <w:t xml:space="preserve">9. Odpis pozwu i załączników dla Pozwanej.</w:t>
      </w:r>
      <w:r>
        <w:t xml:space="preserve"> </w:t>
      </w:r>
      <w:r>
        <w:t xml:space="preserve">10. Pełnomocnictwo.</w:t>
      </w:r>
    </w:p>
    <w:p>
      <w:pPr>
        <w:pStyle w:val="BodyText"/>
      </w:pPr>
      <w:r>
        <w:t xml:space="preserve">[Podpis pełnomocnika]</w:t>
      </w:r>
    </w:p>
    <w:p>
      <w:r>
        <w:pict>
          <v:rect style="width:0;height:1.5pt" o:hralign="center" o:hrstd="t" o:hr="t"/>
        </w:pict>
      </w:r>
    </w:p>
    <w:bookmarkEnd w:id="30"/>
    <w:bookmarkStart w:id="31" w:name="wniosek-o-zabezpieczenie-sądowe"/>
    <w:p>
      <w:pPr>
        <w:pStyle w:val="Heading3"/>
      </w:pPr>
      <w:r>
        <w:t xml:space="preserve">9.4. Wniosek o zabezpieczenie sądowe</w:t>
      </w:r>
    </w:p>
    <w:p>
      <w:pPr>
        <w:pStyle w:val="FirstParagraph"/>
      </w:pPr>
      <w:r>
        <w:rPr>
          <w:b/>
          <w:bCs/>
        </w:rPr>
        <w:t xml:space="preserve">Sąd Rejonowy [miejscowość, np. dla Warszawy-Śródmieścia]</w:t>
      </w:r>
      <w:r>
        <w:t xml:space="preserve"> </w:t>
      </w:r>
      <w:r>
        <w:rPr>
          <w:b/>
          <w:bCs/>
        </w:rPr>
        <w:t xml:space="preserve">Wydział Cywilny</w:t>
      </w:r>
      <w:r>
        <w:t xml:space="preserve"> </w:t>
      </w:r>
      <w:r>
        <w:rPr>
          <w:b/>
          <w:bCs/>
        </w:rPr>
        <w:t xml:space="preserve">[Adres Sądu]</w:t>
      </w:r>
    </w:p>
    <w:p>
      <w:pPr>
        <w:pStyle w:val="BodyText"/>
      </w:pPr>
      <w:r>
        <w:rPr>
          <w:b/>
          <w:bCs/>
        </w:rPr>
        <w:t xml:space="preserve">Wnioskodawca:</w:t>
      </w:r>
      <w:r>
        <w:t xml:space="preserve"> </w:t>
      </w:r>
      <w:r>
        <w:t xml:space="preserve">Pan J. N.</w:t>
      </w:r>
    </w:p>
    <w:p>
      <w:pPr>
        <w:pStyle w:val="BodyText"/>
      </w:pPr>
      <w:r>
        <w:t xml:space="preserve">Warszawa</w:t>
      </w:r>
      <w:r>
        <w:t xml:space="preserve"> </w:t>
      </w:r>
      <w:r>
        <w:t xml:space="preserve">PESEL ███████████</w:t>
      </w:r>
    </w:p>
    <w:p>
      <w:pPr>
        <w:pStyle w:val="BodyText"/>
      </w:pPr>
      <w:r>
        <w:rPr>
          <w:b/>
          <w:bCs/>
        </w:rPr>
        <w:t xml:space="preserve">Uczestnik postępowania (obowiązany):</w:t>
      </w:r>
      <w:r>
        <w:t xml:space="preserve"> </w:t>
      </w:r>
      <w:r>
        <w:t xml:space="preserve">Pani A. K.</w:t>
      </w:r>
    </w:p>
    <w:p>
      <w:pPr>
        <w:pStyle w:val="BodyText"/>
      </w:pPr>
      <w:r>
        <w:t xml:space="preserve">Warszawa</w:t>
      </w:r>
      <w:r>
        <w:t xml:space="preserve"> </w:t>
      </w:r>
      <w:r>
        <w:t xml:space="preserve">PESEL ███████████</w:t>
      </w:r>
    </w:p>
    <w:p>
      <w:pPr>
        <w:pStyle w:val="BodyText"/>
      </w:pPr>
      <w:r>
        <w:rPr>
          <w:b/>
          <w:bCs/>
        </w:rPr>
        <w:t xml:space="preserve">Wartość przedmiotu zabezpieczenia:</w:t>
      </w:r>
      <w:r>
        <w:t xml:space="preserve"> </w:t>
      </w:r>
      <w:r>
        <w:t xml:space="preserve">1 750,00 zł (równowartość 2 miesięcznych różnic czynszu + koszty)</w:t>
      </w:r>
    </w:p>
    <w:p>
      <w:pPr>
        <w:pStyle w:val="BodyText"/>
      </w:pPr>
      <w:r>
        <w:rPr>
          <w:b/>
          <w:bCs/>
        </w:rPr>
        <w:t xml:space="preserve">WNIOSEK O ZABEZPIECZENIE POWÓDZTWA</w:t>
      </w:r>
      <w:r>
        <w:t xml:space="preserve"> </w:t>
      </w:r>
      <w:r>
        <w:t xml:space="preserve">(rozpoznawany łącznie z pozwem o ustalenie z dnia [data złożenia pozwu])</w:t>
      </w:r>
    </w:p>
    <w:p>
      <w:pPr>
        <w:pStyle w:val="BodyText"/>
      </w:pPr>
      <w:r>
        <w:t xml:space="preserve">Wnoszę o zabezpieczenie powództwa o ustalenie bezskuteczności podwyżki czynszu poprzez:</w:t>
      </w:r>
    </w:p>
    <w:p>
      <w:pPr>
        <w:pStyle w:val="Compact"/>
        <w:numPr>
          <w:ilvl w:val="0"/>
          <w:numId w:val="1037"/>
        </w:numPr>
      </w:pPr>
      <w:r>
        <w:rPr>
          <w:b/>
          <w:bCs/>
        </w:rPr>
        <w:t xml:space="preserve">Zakazanie Pozwanej (obowiązanemu) Pani A. K. naliczania, żądania oraz podejmowania jakichkolwiek działań zmierzających do egzekucji od Wnioskodawcy (Powoda) Pana J. N. kwoty czynszu najmu za lokal mieszkalny w Warszawie, przewyższającej kwotę 2 500,00 zł (dwa tysiące pięćset złotych) miesięcznie, na czas trwania niniejszego postępowania.</w:t>
      </w:r>
    </w:p>
    <w:p>
      <w:pPr>
        <w:pStyle w:val="Compact"/>
        <w:numPr>
          <w:ilvl w:val="0"/>
          <w:numId w:val="1037"/>
        </w:numPr>
      </w:pPr>
      <w:r>
        <w:t xml:space="preserve">Zasądzenie od Pozwanej na rzecz Powoda kosztów postępowania zabezpieczającego.</w:t>
      </w:r>
    </w:p>
    <w:p>
      <w:pPr>
        <w:pStyle w:val="FirstParagraph"/>
      </w:pPr>
      <w:r>
        <w:rPr>
          <w:b/>
          <w:bCs/>
        </w:rPr>
        <w:t xml:space="preserve">Uzasadnienie wniosku (uprawdopodobnienie roszczenia i interesu prawnego w zabezpieczeniu):</w:t>
      </w:r>
    </w:p>
    <w:p>
      <w:pPr>
        <w:numPr>
          <w:ilvl w:val="0"/>
          <w:numId w:val="1038"/>
        </w:numPr>
      </w:pPr>
      <w:r>
        <w:rPr>
          <w:b/>
          <w:bCs/>
        </w:rPr>
        <w:t xml:space="preserve">Uprawdopodobnienie roszczenia:</w:t>
      </w:r>
      <w:r>
        <w:t xml:space="preserve"> </w:t>
      </w:r>
      <w:r>
        <w:t xml:space="preserve">Roszczenie o ustalenie bezskuteczności podwyżki czynszu jest wysoce uprawdopodobnione. Jak szczegółowo wskazano w uzasadnieniu pozwu, klauzula §4 ust. 1 umowy najmu [Źródło 3], na której Pozwana opiera podwyżkę czynszu, jest niemal z pewnością niedozwolonym postanowieniem umownym (abuzywnym) w rozumieniu art. 385¹ Kodeksu cywilnego. Postanowienie to narusza dobre obyczaje i rażąco narusza interesy Powoda jako konsumenta, dając Pozwanej jednostronne prawo do zmiany istotnego warunku umowy bez obiektywnych kryteriów i wprowadzając mechanizm „milczącej zgody”.</w:t>
      </w:r>
    </w:p>
    <w:p>
      <w:pPr>
        <w:numPr>
          <w:ilvl w:val="0"/>
          <w:numId w:val="1000"/>
        </w:numPr>
      </w:pPr>
      <w:r>
        <w:t xml:space="preserve">Ponadto, nawet gdyby klauzula ta była ważna, Powód złożył pisemny sprzeciw w terminie 7 dni od doręczenia zawiadomienia o podwyżce, tj. 22 czerwca 2025 r. [Źródło 4], w zakreślonym umownie terminie 14 dni [Źródło 3]. Zatem podwyżka jest bezskuteczna również z tej przyczyny.</w:t>
      </w:r>
    </w:p>
    <w:p>
      <w:pPr>
        <w:numPr>
          <w:ilvl w:val="0"/>
          <w:numId w:val="1000"/>
        </w:numPr>
      </w:pPr>
      <w:r>
        <w:t xml:space="preserve">Wszystkie okoliczności faktyczne i prawne wskazują na to, że Powód nie jest zobowiązany do zapłaty czynszu w wysokości 3 200,00 zł, a jedynie w dotychczasowej wysokości 2 500,00 zł.</w:t>
      </w:r>
    </w:p>
    <w:p>
      <w:pPr>
        <w:numPr>
          <w:ilvl w:val="0"/>
          <w:numId w:val="1038"/>
        </w:numPr>
      </w:pPr>
      <w:r>
        <w:rPr>
          <w:b/>
          <w:bCs/>
        </w:rPr>
        <w:t xml:space="preserve">Uprawdopodobnienie interesu prawnego w zabezpieczeniu (art. 730¹ KPC):</w:t>
      </w:r>
      <w:r>
        <w:t xml:space="preserve"> </w:t>
      </w:r>
      <w:r>
        <w:t xml:space="preserve">Interes prawny w zabezpieczeniu istnieje, gdy brak zabezpieczenia uniemożliwi lub poważnie utrudni wykonanie zapadłego w sprawie orzeczenia albo w inny sposób uniemożliwi lub poważnie utrudni osiągnięcie celu postępowania. W niniejszej sprawie brak zabezpieczenia może:</w:t>
      </w:r>
    </w:p>
    <w:p>
      <w:pPr>
        <w:pStyle w:val="Compact"/>
        <w:numPr>
          <w:ilvl w:val="1"/>
          <w:numId w:val="1039"/>
        </w:numPr>
      </w:pPr>
      <w:r>
        <w:rPr>
          <w:b/>
          <w:bCs/>
        </w:rPr>
        <w:t xml:space="preserve">Poważnie utrudnić osiągnięcie celu postępowania:</w:t>
      </w:r>
      <w:r>
        <w:t xml:space="preserve"> </w:t>
      </w:r>
      <w:r>
        <w:t xml:space="preserve">Pozwana wystawiła już fakturę na kwotę 3 200,00 zł [Źródło 4] i wysłała upomnienie, grożąc naliczeniem odsetek ustawowych oraz wypowiedzeniem umowy najmu [Źródło 6]. Działania te stwarzają dla Powoda realne zagrożenie wszczęciem postępowania windykacyjnego lub, co gorsza, bezpodstawnym wypowiedzeniem umowy najmu lokalu mieszkalnego, w którym Powód zamieszkuje. Wypowiedzenie umowy na czas oznaczony (do 30.09.2025 r.) [Źródło 3] byłoby w obecnym stanie faktycznym nieuprawnione, ale jego podjęcie samo w sobie generowałoby dla Powoda znaczne szkody i konieczność ponoszenia kosztów obrony.</w:t>
      </w:r>
    </w:p>
    <w:p>
      <w:pPr>
        <w:pStyle w:val="Compact"/>
        <w:numPr>
          <w:ilvl w:val="1"/>
          <w:numId w:val="1039"/>
        </w:numPr>
      </w:pPr>
      <w:r>
        <w:rPr>
          <w:b/>
          <w:bCs/>
        </w:rPr>
        <w:t xml:space="preserve">Narazić Powoda na szkodę:</w:t>
      </w:r>
      <w:r>
        <w:t xml:space="preserve"> </w:t>
      </w:r>
      <w:r>
        <w:t xml:space="preserve">Brak zabezpieczenia zmusi Powoda do ponoszenia co miesiąc dodatkowych 700,00 zł, co stanowi dla niego znaczne obciążenie finansowe. Kwota ta mogłaby być trudna do odzyskania w przyszłości w przypadku konieczności dochodzenia zwrotu nienależnego świadczenia od Pozwanej.</w:t>
      </w:r>
    </w:p>
    <w:p>
      <w:pPr>
        <w:pStyle w:val="Compact"/>
        <w:numPr>
          <w:ilvl w:val="1"/>
          <w:numId w:val="1039"/>
        </w:numPr>
      </w:pPr>
      <w:r>
        <w:rPr>
          <w:b/>
          <w:bCs/>
        </w:rPr>
        <w:t xml:space="preserve">Zapewnić stabilność sytuacji prawnej:</w:t>
      </w:r>
      <w:r>
        <w:t xml:space="preserve"> </w:t>
      </w:r>
      <w:r>
        <w:t xml:space="preserve">Zabezpieczenie poprzez zakaz naliczania i egzekwowania wyższego czynszu zapewni Powodowi stabilność sytuacji prawnej i finansowej na czas trwania postępowania, eliminując presję ze strony Pozwanej i umożliwiając spokojne oczekiwanie na rozstrzygnięcie sądu.</w:t>
      </w:r>
    </w:p>
    <w:p>
      <w:pPr>
        <w:pStyle w:val="FirstParagraph"/>
      </w:pPr>
      <w:r>
        <w:rPr>
          <w:b/>
          <w:bCs/>
        </w:rPr>
        <w:t xml:space="preserve">Wnioski dowodowe:</w:t>
      </w:r>
      <w:r>
        <w:t xml:space="preserve"> </w:t>
      </w:r>
      <w:r>
        <w:t xml:space="preserve">Na dowód uprawdopodobnienia roszczenia i interesu prawnego w zabezpieczeniu powództwa wnoszę o dopuszczenie dowodów wskazanych w pozwie o ustalenie z dnia [data złożenia pozwu], w szczególności:</w:t>
      </w:r>
      <w:r>
        <w:t xml:space="preserve"> </w:t>
      </w:r>
      <w:r>
        <w:t xml:space="preserve">1. Umowa najmu okazjonalnego nr UM/████/89 z dnia 28 września 2023 r. [Źródło 3].</w:t>
      </w:r>
      <w:r>
        <w:t xml:space="preserve"> </w:t>
      </w:r>
      <w:r>
        <w:t xml:space="preserve">2. Zawiadomienie Pozwanej o zmianie wysokości czynszu z dnia 15 czerwca 2025 r. [Źródło 3].</w:t>
      </w:r>
      <w:r>
        <w:t xml:space="preserve"> </w:t>
      </w:r>
      <w:r>
        <w:t xml:space="preserve">3. Pisemny sprzeciw Powoda z dnia 22 czerwca 2025 r. wraz z potwierdzeniem odbioru [Źródło 4].</w:t>
      </w:r>
      <w:r>
        <w:t xml:space="preserve"> </w:t>
      </w:r>
      <w:r>
        <w:t xml:space="preserve">4. Odpowiedź Pozwanej z dnia 30 czerwca 2025 r. [Źródło 4].</w:t>
      </w:r>
      <w:r>
        <w:t xml:space="preserve"> </w:t>
      </w:r>
      <w:r>
        <w:t xml:space="preserve">5. Faktura VAT za sierpień 2025 r. na kwotę 3 200,00 zł [Źródło 4].</w:t>
      </w:r>
      <w:r>
        <w:t xml:space="preserve"> </w:t>
      </w:r>
      <w:r>
        <w:t xml:space="preserve">6. Upomnienie Pozwanej z dnia 25 lipca 2025 r. [Źródło 6].</w:t>
      </w:r>
    </w:p>
    <w:p>
      <w:pPr>
        <w:pStyle w:val="BodyText"/>
      </w:pPr>
      <w:r>
        <w:rPr>
          <w:b/>
          <w:bCs/>
        </w:rPr>
        <w:t xml:space="preserve">Wartość przedmiotu zabezpieczenia:</w:t>
      </w:r>
      <w:r>
        <w:t xml:space="preserve"> </w:t>
      </w:r>
      <w:r>
        <w:t xml:space="preserve">Wysokość sumy zabezpieczenia odpowiada różnicy w czynszu za okres trwania postępowania do czasu upływu umowy najmu (do 30 września 2025 r.) [Źródło 3], powiększonej o szacowane koszty postępowania.</w:t>
      </w:r>
    </w:p>
    <w:p>
      <w:pPr>
        <w:pStyle w:val="BodyText"/>
      </w:pPr>
      <w:r>
        <w:rPr>
          <w:b/>
          <w:bCs/>
        </w:rPr>
        <w:t xml:space="preserve">Pouczenie:</w:t>
      </w:r>
      <w:r>
        <w:t xml:space="preserve"> </w:t>
      </w:r>
      <w:r>
        <w:t xml:space="preserve">Na postanowienie sądu w przedmiocie zabezpieczenia przysługuje zażalenie.</w:t>
      </w:r>
    </w:p>
    <w:p>
      <w:pPr>
        <w:pStyle w:val="BodyText"/>
      </w:pPr>
      <w:r>
        <w:rPr>
          <w:b/>
          <w:bCs/>
        </w:rPr>
        <w:t xml:space="preserve">Załączniki:</w:t>
      </w:r>
      <w:r>
        <w:t xml:space="preserve"> </w:t>
      </w:r>
      <w:r>
        <w:t xml:space="preserve">1. Odpis wniosku i załączników dla Uczestnika postępowania.</w:t>
      </w:r>
      <w:r>
        <w:t xml:space="preserve"> </w:t>
      </w:r>
      <w:r>
        <w:t xml:space="preserve">2. Pełnomocnictwo.</w:t>
      </w:r>
    </w:p>
    <w:p>
      <w:pPr>
        <w:pStyle w:val="BodyText"/>
      </w:pPr>
      <w:r>
        <w:t xml:space="preserve">[Podpis pełnomocnika]</w:t>
      </w:r>
    </w:p>
    <w:p>
      <w:r>
        <w:pict>
          <v:rect style="width:0;height:1.5pt" o:hralign="center" o:hrstd="t" o:hr="t"/>
        </w:pict>
      </w:r>
    </w:p>
    <w:bookmarkEnd w:id="31"/>
    <w:bookmarkStart w:id="32" w:name="X093acf97efbfb084b55e4a804c763658c00b2a0"/>
    <w:p>
      <w:pPr>
        <w:pStyle w:val="Heading3"/>
      </w:pPr>
      <w:r>
        <w:t xml:space="preserve">9.5. Pozew do Sądu Rejonowego (wariant B: o zwrot nienależnie pobranego świadczenia)</w:t>
      </w:r>
    </w:p>
    <w:p>
      <w:pPr>
        <w:pStyle w:val="FirstParagraph"/>
      </w:pPr>
      <w:r>
        <w:rPr>
          <w:b/>
          <w:bCs/>
        </w:rPr>
        <w:t xml:space="preserve">UWAGA:</w:t>
      </w:r>
      <w:r>
        <w:t xml:space="preserve"> </w:t>
      </w:r>
      <w:r>
        <w:t xml:space="preserve">Niniejszy wariant pozwu należy zastosować wyłącznie w sytuacji, gdyby Klient uiścił podwyższony czynsz za co najmniej jeden miesiąc.</w:t>
      </w:r>
    </w:p>
    <w:p>
      <w:pPr>
        <w:pStyle w:val="BodyText"/>
      </w:pPr>
      <w:r>
        <w:rPr>
          <w:b/>
          <w:bCs/>
        </w:rPr>
        <w:t xml:space="preserve">Sąd Rejonowy [miejscowość, np. dla Warszawy-Śródmieścia]</w:t>
      </w:r>
      <w:r>
        <w:t xml:space="preserve"> </w:t>
      </w:r>
      <w:r>
        <w:rPr>
          <w:b/>
          <w:bCs/>
        </w:rPr>
        <w:t xml:space="preserve">Wydział Cywilny</w:t>
      </w:r>
      <w:r>
        <w:t xml:space="preserve"> </w:t>
      </w:r>
      <w:r>
        <w:rPr>
          <w:b/>
          <w:bCs/>
        </w:rPr>
        <w:t xml:space="preserve">[Adres Sądu]</w:t>
      </w:r>
    </w:p>
    <w:p>
      <w:pPr>
        <w:pStyle w:val="BodyText"/>
      </w:pPr>
      <w:r>
        <w:rPr>
          <w:b/>
          <w:bCs/>
        </w:rPr>
        <w:t xml:space="preserve">Powód:</w:t>
      </w:r>
      <w:r>
        <w:t xml:space="preserve"> </w:t>
      </w:r>
      <w:r>
        <w:t xml:space="preserve">Pan J. N.</w:t>
      </w:r>
    </w:p>
    <w:p>
      <w:pPr>
        <w:pStyle w:val="BodyText"/>
      </w:pPr>
      <w:r>
        <w:t xml:space="preserve">Warszawa</w:t>
      </w:r>
      <w:r>
        <w:t xml:space="preserve"> </w:t>
      </w:r>
      <w:r>
        <w:t xml:space="preserve">PESEL ███████████</w:t>
      </w:r>
    </w:p>
    <w:p>
      <w:pPr>
        <w:pStyle w:val="BodyText"/>
      </w:pPr>
      <w:r>
        <w:rPr>
          <w:b/>
          <w:bCs/>
        </w:rPr>
        <w:t xml:space="preserve">Pozwana:</w:t>
      </w:r>
      <w:r>
        <w:t xml:space="preserve"> </w:t>
      </w:r>
      <w:r>
        <w:t xml:space="preserve">Pani A. K.</w:t>
      </w:r>
    </w:p>
    <w:p>
      <w:pPr>
        <w:pStyle w:val="BodyText"/>
      </w:pPr>
      <w:r>
        <w:t xml:space="preserve">Warszawa</w:t>
      </w:r>
      <w:r>
        <w:t xml:space="preserve"> </w:t>
      </w:r>
      <w:r>
        <w:t xml:space="preserve">PESEL ███████████</w:t>
      </w:r>
    </w:p>
    <w:p>
      <w:pPr>
        <w:pStyle w:val="BodyText"/>
      </w:pPr>
      <w:r>
        <w:rPr>
          <w:b/>
          <w:bCs/>
        </w:rPr>
        <w:t xml:space="preserve">Wartość przedmiotu sporu (WPS):</w:t>
      </w:r>
      <w:r>
        <w:t xml:space="preserve"> </w:t>
      </w:r>
      <w:r>
        <w:t xml:space="preserve">[Np. 700,00 zł (za jeden miesiąc nadpłaty)]</w:t>
      </w:r>
      <w:r>
        <w:t xml:space="preserve"> </w:t>
      </w:r>
      <w:r>
        <w:t xml:space="preserve">(Dokładna kwota zależna od liczby miesięcy, za które Klient nadpłacił czynsz, np. 700 zł za każdy miesiąc, w którym zapłacił 3200 zł).</w:t>
      </w:r>
    </w:p>
    <w:p>
      <w:pPr>
        <w:pStyle w:val="BodyText"/>
      </w:pPr>
      <w:r>
        <w:rPr>
          <w:b/>
          <w:bCs/>
        </w:rPr>
        <w:t xml:space="preserve">Opłata sądowa:</w:t>
      </w:r>
      <w:r>
        <w:t xml:space="preserve"> </w:t>
      </w:r>
      <w:r>
        <w:t xml:space="preserve">[według bieżących stawek – 5% od WPS]</w:t>
      </w:r>
    </w:p>
    <w:p>
      <w:pPr>
        <w:pStyle w:val="BodyText"/>
      </w:pPr>
      <w:r>
        <w:rPr>
          <w:b/>
          <w:bCs/>
        </w:rPr>
        <w:t xml:space="preserve">POZEW O ZAPŁATĘ (ZWROT NIENALEŻNEGO ŚWIADCZENIA)</w:t>
      </w:r>
    </w:p>
    <w:p>
      <w:pPr>
        <w:pStyle w:val="BodyText"/>
      </w:pPr>
      <w:r>
        <w:t xml:space="preserve">Wnoszę o:</w:t>
      </w:r>
    </w:p>
    <w:p>
      <w:pPr>
        <w:pStyle w:val="Compact"/>
        <w:numPr>
          <w:ilvl w:val="0"/>
          <w:numId w:val="1040"/>
        </w:numPr>
      </w:pPr>
      <w:r>
        <w:t xml:space="preserve">Zasądzenie od Pozwanej Pani A. K. na rzecz Powoda Pana J. N. kwoty</w:t>
      </w:r>
      <w:r>
        <w:t xml:space="preserve"> </w:t>
      </w:r>
      <w:r>
        <w:rPr>
          <w:b/>
          <w:bCs/>
        </w:rPr>
        <w:t xml:space="preserve">[np. 700,00 zł – kwota nadpłaty za jeden miesiąc]</w:t>
      </w:r>
      <w:r>
        <w:t xml:space="preserve"> </w:t>
      </w:r>
      <w:r>
        <w:t xml:space="preserve">wraz z odsetkami ustawowymi za opóźnienie od dnia</w:t>
      </w:r>
      <w:r>
        <w:t xml:space="preserve"> </w:t>
      </w:r>
      <w:r>
        <w:rPr>
          <w:b/>
          <w:bCs/>
        </w:rPr>
        <w:t xml:space="preserve">[data wymagalności, np. 01.08.2025 r. lub dzień wezwania do zapłaty]</w:t>
      </w:r>
      <w:r>
        <w:t xml:space="preserve"> </w:t>
      </w:r>
      <w:r>
        <w:t xml:space="preserve">do dnia zapłaty, tytułem zwrotu nienależnego świadczenia.</w:t>
      </w:r>
    </w:p>
    <w:p>
      <w:pPr>
        <w:pStyle w:val="Compact"/>
        <w:numPr>
          <w:ilvl w:val="0"/>
          <w:numId w:val="1040"/>
        </w:numPr>
      </w:pPr>
      <w:r>
        <w:t xml:space="preserve">Ustalenie, że postanowienie §4 ust. 1 umowy najmu okazjonalnego lokalu mieszkalnego nr UM/████/89 z dnia 28 września 2023 r., zawartej pomiędzy Powodem Panem J. N. a Pozwaną Panią A. K., jest niedozwolonym postanowieniem umownym w rozumieniu art. 385¹ Kodeksu cywilnego i nie wiąże Powoda. (żądanie ewentualne lub w kumulacji z żądaniem głównym, jeśli interes prawny pozwala)</w:t>
      </w:r>
    </w:p>
    <w:p>
      <w:pPr>
        <w:pStyle w:val="Compact"/>
        <w:numPr>
          <w:ilvl w:val="0"/>
          <w:numId w:val="1040"/>
        </w:numPr>
      </w:pPr>
      <w:r>
        <w:t xml:space="preserve">Zasądzenie od Pozwanej na rzecz Powoda kosztów postępowania, w tym kosztów zastępstwa procesowego, według norm przepisanych.</w:t>
      </w:r>
    </w:p>
    <w:p>
      <w:pPr>
        <w:pStyle w:val="FirstParagraph"/>
      </w:pPr>
      <w:r>
        <w:rPr>
          <w:b/>
          <w:bCs/>
        </w:rPr>
        <w:t xml:space="preserve">Wnioski dowodowe:</w:t>
      </w:r>
    </w:p>
    <w:p>
      <w:pPr>
        <w:pStyle w:val="Compact"/>
        <w:numPr>
          <w:ilvl w:val="0"/>
          <w:numId w:val="1041"/>
        </w:numPr>
      </w:pPr>
      <w:r>
        <w:t xml:space="preserve">Dowód z dokumentu: Umowa najmu okazjonalnego nr UM/████/89 z dnia 28 września 2023 r. [Źródło 3] – na okoliczność treści stosunku prawnego łączącego strony oraz postanowień dotyczących czynszu i jego zmiany.</w:t>
      </w:r>
    </w:p>
    <w:p>
      <w:pPr>
        <w:pStyle w:val="Compact"/>
        <w:numPr>
          <w:ilvl w:val="0"/>
          <w:numId w:val="1041"/>
        </w:numPr>
      </w:pPr>
      <w:r>
        <w:t xml:space="preserve">Dowód z dokumentu: Zawiadomienie Pozwanej o zmianie wysokości czynszu z dnia 15 czerwca 2025 r. [Źródło 3] – na okoliczność treści i daty doręczenia zawiadomienia o podwyżce.</w:t>
      </w:r>
    </w:p>
    <w:p>
      <w:pPr>
        <w:pStyle w:val="Compact"/>
        <w:numPr>
          <w:ilvl w:val="0"/>
          <w:numId w:val="1041"/>
        </w:numPr>
      </w:pPr>
      <w:r>
        <w:t xml:space="preserve">Dowód z dokumentu: Pisemny sprzeciw Powoda z dnia 22 czerwca 2025 r. [Źródło 4] – na okoliczność terminowego i skutecznego wyrażenia sprzeciwu wobec podwyżki.</w:t>
      </w:r>
    </w:p>
    <w:p>
      <w:pPr>
        <w:pStyle w:val="Compact"/>
        <w:numPr>
          <w:ilvl w:val="0"/>
          <w:numId w:val="1041"/>
        </w:numPr>
      </w:pPr>
      <w:r>
        <w:t xml:space="preserve">Dowód z dokumentu: Odpowiedź Pozwanej z dnia 30 czerwca 2025 r. [Źródło 4] – na okoliczność odrzucenia sprzeciwu Powoda i podtrzymania stanowiska o podwyżce.</w:t>
      </w:r>
    </w:p>
    <w:p>
      <w:pPr>
        <w:pStyle w:val="Compact"/>
        <w:numPr>
          <w:ilvl w:val="0"/>
          <w:numId w:val="1041"/>
        </w:numPr>
      </w:pPr>
      <w:r>
        <w:t xml:space="preserve">Dowód z dokumentu: Faktura VAT za sierpień 2025 r. na kwotę 3 200,00 zł [Źródło 4] – na okoliczność żądania przez Pozwaną podwyższonego czynszu.</w:t>
      </w:r>
    </w:p>
    <w:p>
      <w:pPr>
        <w:pStyle w:val="Compact"/>
        <w:numPr>
          <w:ilvl w:val="0"/>
          <w:numId w:val="1041"/>
        </w:numPr>
      </w:pPr>
      <w:r>
        <w:t xml:space="preserve">Dowód z dokumentu: Potwierdzenia przelewu bankowego z dnia [data przelewu] na kwotę 3 200,00 zł [Źródło 4] – na okoliczność nadpłaty czynszu za miesiąc [nazwa miesiąca] w wysokości 700,00 zł.</w:t>
      </w:r>
    </w:p>
    <w:p>
      <w:pPr>
        <w:pStyle w:val="Compact"/>
        <w:numPr>
          <w:ilvl w:val="0"/>
          <w:numId w:val="1041"/>
        </w:numPr>
      </w:pPr>
      <w:r>
        <w:t xml:space="preserve">Dowód z przesłuchania stron: Powoda i Pozwanej – na okoliczności zawarcia i wykonywania umowy najmu, przebiegu negocjacji (lub ich braku) postanowienia §4 ust. 1, doręczenia i treści zawiadomienia o podwyżce oraz sprzeciwu, a także uzasadnienia podwyżki i przyczyn odmowy jej akceptacji.</w:t>
      </w:r>
    </w:p>
    <w:p>
      <w:pPr>
        <w:pStyle w:val="FirstParagraph"/>
      </w:pPr>
      <w:r>
        <w:rPr>
          <w:b/>
          <w:bCs/>
        </w:rPr>
        <w:t xml:space="preserve">Uzasadnienie:</w:t>
      </w:r>
    </w:p>
    <w:p>
      <w:pPr>
        <w:pStyle w:val="BodyText"/>
      </w:pPr>
      <w:r>
        <w:t xml:space="preserve">Powód Pan J. N. jest Najemcą lokalu mieszkalnego w Warszawie na podstawie umowy najmu okazjonalnego nr UM/████/89 z dnia 28 września 2023 r. [Źródło 3]. Umowa została zawarta na czas oznaczony od 1 października 2023 r. do 30 września 2025 r. [Źródło 3]. Miesięczny czynsz najmu wynosił 2 500,00 zł [Źródło 3].</w:t>
      </w:r>
    </w:p>
    <w:p>
      <w:pPr>
        <w:pStyle w:val="BodyText"/>
      </w:pPr>
      <w:r>
        <w:t xml:space="preserve">Powód jest konsumentem w rozumieniu art. 22¹ Kodeksu cywilnego, co oznacza, że przysługuje mu ochrona przed niedozwolonymi postanowieniami umownymi.</w:t>
      </w:r>
    </w:p>
    <w:p>
      <w:pPr>
        <w:pStyle w:val="BodyText"/>
      </w:pPr>
      <w:r>
        <w:t xml:space="preserve">W dniu 15 czerwca 2025 r. Pozwana doręczyła Powodowi zawiadomienie o podwyższeniu czynszu do 3 200,00 zł od 1 sierpnia 2025 r. [Źródło 3]. Podstawą prawną podwyżki miało być §4 ust. 1 umowy, które stanowi, że Wynajmujący zastrzega sobie prawo do jednostronnej zmiany wysokości czynszu, a brak sprzeciwu Najemcy w ciągu 14 dni od doręczenia zawiadomienia oznacza akceptację nowej wysokości [Źródło 3].</w:t>
      </w:r>
    </w:p>
    <w:p>
      <w:pPr>
        <w:pStyle w:val="BodyText"/>
      </w:pPr>
      <w:r>
        <w:t xml:space="preserve">Powyższe postanowienie §4 ust. 1 umowy jest sprzeczne z dobrymi obyczajami i rażąco narusza interesy Powoda jako konsumenta, przez co stanowi niedozwolone postanowienie umowne (abuzywne) w rozumieniu art. 385¹ § 1 Kodeksu cywilnego. Klauzula ta, nieuzgodniona indywidualnie, daje Pozwanej jednostronne prawo do zmiany ceny bez wyraźnych, obiektywnych i weryfikowalnych kryteriów, jednocześnie wprowadzając mechanizm „milczącej zgody” Najemcy, co w świetle orzecznictwa sądowego jest uznawane za niedopuszczalne. Ponadto, postanowienie to odpowiada przykładowym klauzulom niedozwolonym z art. 385³ pkt 20 i 21 Kodeksu cywilnego, które dotyczą jednostronnej zmiany umowy lub ceny bez przyznania konsumentowi prawa odstąpienia.</w:t>
      </w:r>
    </w:p>
    <w:p>
      <w:pPr>
        <w:pStyle w:val="BodyText"/>
      </w:pPr>
      <w:r>
        <w:t xml:space="preserve">Nawet gdyby uznać postanowienie §4 ust. 1 za ważne, Powód złożył pisemny sprzeciw w dniu 22 czerwca 2025 r. [Źródło 4], czyli w terminie 7 dni od daty doręczenia zawiadomienia (15 czerwca 2025 r.), a więc w terminie 14 dni przewidzianym w umowie [Źródło 3]. W związku z tym, argumentacja Pozwanej o „cichym zaakceptowaniu” podwyżki i bezskuteczności sprzeciwu [Źródło 6] jest pozbawiona podstaw.</w:t>
      </w:r>
    </w:p>
    <w:p>
      <w:pPr>
        <w:pStyle w:val="BodyText"/>
      </w:pPr>
      <w:r>
        <w:t xml:space="preserve">Wskutek bezskutecznej podwyżki czynszu, Powód dokonał nadpłaty w wysokości</w:t>
      </w:r>
      <w:r>
        <w:t xml:space="preserve"> </w:t>
      </w:r>
      <w:r>
        <w:rPr>
          <w:b/>
          <w:bCs/>
        </w:rPr>
        <w:t xml:space="preserve">[np. 700,00 zł]</w:t>
      </w:r>
      <w:r>
        <w:t xml:space="preserve"> </w:t>
      </w:r>
      <w:r>
        <w:t xml:space="preserve">za miesiąc</w:t>
      </w:r>
      <w:r>
        <w:t xml:space="preserve"> </w:t>
      </w:r>
      <w:r>
        <w:rPr>
          <w:b/>
          <w:bCs/>
        </w:rPr>
        <w:t xml:space="preserve">[nazwa miesiąca]</w:t>
      </w:r>
      <w:r>
        <w:t xml:space="preserve">, spełniając świadczenie, do którego nie był zobowiązany. Stanowi to nienależne świadczenie w rozumieniu art. 405 Kodeksu cywilnego, a Pozwana jest bezpodstawnie wzbogacona kosztem Powoda. W związku z tym, Powodowi przysługuje roszczenie o zwrot tej kwoty wraz z odsetkami ustawowymi za opóźnienie.</w:t>
      </w:r>
    </w:p>
    <w:p>
      <w:pPr>
        <w:pStyle w:val="BodyText"/>
      </w:pPr>
      <w:r>
        <w:rPr>
          <w:b/>
          <w:bCs/>
        </w:rPr>
        <w:t xml:space="preserve">Informacja o próbie mediacji lub innego pozasądowego sposobu rozwiązania sporu (art. 187 § 1 pkt 3 KPC):</w:t>
      </w:r>
      <w:r>
        <w:t xml:space="preserve"> </w:t>
      </w:r>
      <w:r>
        <w:t xml:space="preserve">Strony podjęły próbę pozasądowego rozwiązania sporu poprzez wymianę pism. Powód złożył sprzeciw wobec podwyżki, a następnie wezwanie przedsądowe [Źródło 4, Źródło 6]. Pozwana odrzuciła sprzeciw i podtrzymała stanowisko o podwyżce, odmawiając negocjacji [Źródło 4]. W związku z tym, dalsze próby pozasądowego rozwiązania sporu nie rokują powodzenia.</w:t>
      </w:r>
    </w:p>
    <w:p>
      <w:pPr>
        <w:pStyle w:val="BodyText"/>
      </w:pPr>
      <w:r>
        <w:rPr>
          <w:b/>
          <w:bCs/>
        </w:rPr>
        <w:t xml:space="preserve">Załączniki:</w:t>
      </w:r>
      <w:r>
        <w:t xml:space="preserve"> </w:t>
      </w:r>
      <w:r>
        <w:t xml:space="preserve">1. Umowa najmu okazjonalnego nr UM/████/89 z dnia 28.09.2023 r. (kserokopia poświadczona za zgodność z oryginałem) [Źródło 3].</w:t>
      </w:r>
      <w:r>
        <w:t xml:space="preserve"> </w:t>
      </w:r>
      <w:r>
        <w:t xml:space="preserve">2. Zawiadomienie Pozwanej o zmianie wysokości czynszu z dnia 15.06.2025 r. [Źródło 3].</w:t>
      </w:r>
      <w:r>
        <w:t xml:space="preserve"> </w:t>
      </w:r>
      <w:r>
        <w:t xml:space="preserve">3. Pisemny sprzeciw Powoda z dnia 22.06.2025 r. wraz z potwierdzeniem odbioru [Źródło 4].</w:t>
      </w:r>
      <w:r>
        <w:t xml:space="preserve"> </w:t>
      </w:r>
      <w:r>
        <w:t xml:space="preserve">4. Odpowiedź Pozwanej z dnia 30.06.2025 r. [Źródło 4].</w:t>
      </w:r>
      <w:r>
        <w:t xml:space="preserve"> </w:t>
      </w:r>
      <w:r>
        <w:t xml:space="preserve">5. Faktura VAT za sierpień 2025 r. [Źródło 4].</w:t>
      </w:r>
      <w:r>
        <w:t xml:space="preserve"> </w:t>
      </w:r>
      <w:r>
        <w:t xml:space="preserve">6. Potwierdzenie przelewu bankowego za miesiąc [nazwa miesiąca] na kwotę 3 200,00 zł [Źródło 4].</w:t>
      </w:r>
      <w:r>
        <w:t xml:space="preserve"> </w:t>
      </w:r>
      <w:r>
        <w:t xml:space="preserve">7. Dowód uiszczenia opłaty sądowej.</w:t>
      </w:r>
      <w:r>
        <w:t xml:space="preserve"> </w:t>
      </w:r>
      <w:r>
        <w:t xml:space="preserve">8. Odpis pozwu i załączników dla Pozwanej.</w:t>
      </w:r>
      <w:r>
        <w:t xml:space="preserve"> </w:t>
      </w:r>
      <w:r>
        <w:t xml:space="preserve">9. Pełnomocnictwo.</w:t>
      </w:r>
    </w:p>
    <w:p>
      <w:pPr>
        <w:pStyle w:val="BodyText"/>
      </w:pPr>
      <w:r>
        <w:t xml:space="preserve">[Podpis pełnomocnika]</w:t>
      </w:r>
    </w:p>
    <w:p>
      <w:r>
        <w:pict>
          <v:rect style="width:0;height:1.5pt" o:hralign="center" o:hrstd="t" o:hr="t"/>
        </w:pict>
      </w:r>
    </w:p>
    <w:p>
      <w:pPr>
        <w:pStyle w:val="FirstParagraph"/>
      </w:pPr>
      <w:r>
        <w:t xml:space="preserve">[[PROPOSE_DOC: Wezwanie przedsądowe do Wynajmującego]]</w:t>
      </w:r>
      <w:r>
        <w:t xml:space="preserve"> </w:t>
      </w:r>
      <w:r>
        <w:t xml:space="preserve">[[PROPOSE_DOC: Opinia prawna dla klienta]]</w:t>
      </w:r>
      <w:r>
        <w:t xml:space="preserve"> </w:t>
      </w:r>
      <w:r>
        <w:t xml:space="preserve">[[PROPOSE_DOC: Pozew o ustalenie bezskuteczności podwyżki czynszu]]</w:t>
      </w:r>
      <w:r>
        <w:t xml:space="preserve"> </w:t>
      </w:r>
      <w:r>
        <w:t xml:space="preserve">[[PROPOSE_DOC: Wniosek o zabezpieczenie powództwa]]</w:t>
      </w:r>
    </w:p>
    <w:p>
      <w:r>
        <w:pict>
          <v:rect style="width:0;height:1.5pt" o:hralign="center" o:hrstd="t" o:hr="t"/>
        </w:pict>
      </w:r>
    </w:p>
    <w:bookmarkEnd w:id="32"/>
    <w:bookmarkStart w:id="33" w:name="wykorzystane-źródła-i-orzeczenia"/>
    <w:p>
      <w:pPr>
        <w:pStyle w:val="Heading3"/>
      </w:pPr>
      <w:r>
        <w:t xml:space="preserve">Wykorzystane źródła i orzeczenia</w:t>
      </w:r>
    </w:p>
    <w:p>
      <w:pPr>
        <w:numPr>
          <w:ilvl w:val="0"/>
          <w:numId w:val="1042"/>
        </w:numPr>
      </w:pPr>
      <w:r>
        <w:rPr>
          <w:b/>
          <w:bCs/>
        </w:rPr>
        <w:t xml:space="preserve">[attachment]</w:t>
      </w:r>
      <w:r>
        <w:t xml:space="preserve"> </w:t>
      </w:r>
      <w:r>
        <w:t xml:space="preserve">D1 · Streszczenie · Sprawa_LP053_podwyzka-czynszu-w-trakcie-najmu-mieszkania-kiedy-jest-skuteczna-i-jak.md — Streszczenie dokumentu:</w:t>
      </w:r>
    </w:p>
    <w:p>
      <w:pPr>
        <w:numPr>
          <w:ilvl w:val="0"/>
          <w:numId w:val="1042"/>
        </w:numPr>
      </w:pPr>
      <w:r>
        <w:rPr>
          <w:b/>
          <w:bCs/>
        </w:rPr>
        <w:t xml:space="preserve">Typ dokumentu i strony postępowania:</w:t>
      </w:r>
    </w:p>
    <w:p>
      <w:pPr>
        <w:pStyle w:val="Compact"/>
        <w:numPr>
          <w:ilvl w:val="1"/>
          <w:numId w:val="1043"/>
        </w:numPr>
      </w:pPr>
      <w:r>
        <w:t xml:space="preserve">Dokument stanowi kazus prawny (opis stanu faktycznego i zadanie dla kancelarii) dotyczący najmu nieruchomości.</w:t>
      </w:r>
    </w:p>
    <w:p>
      <w:pPr>
        <w:pStyle w:val="Compact"/>
        <w:numPr>
          <w:ilvl w:val="1"/>
          <w:numId w:val="1043"/>
        </w:numPr>
      </w:pPr>
      <w:r>
        <w:rPr>
          <w:b/>
          <w:bCs/>
        </w:rPr>
        <w:t xml:space="preserve">Wynajmujący:</w:t>
      </w:r>
      <w:r>
        <w:t xml:space="preserve"> </w:t>
      </w:r>
      <w:r>
        <w:t xml:space="preserve">Pani A. K., reprezentowana przez „A. Sp. z o.o.” (KW nr WA1M/00000001</w:t>
      </w:r>
    </w:p>
    <w:p>
      <w:pPr>
        <w:numPr>
          <w:ilvl w:val="0"/>
          <w:numId w:val="1042"/>
        </w:numPr>
      </w:pPr>
      <w:r>
        <w:rPr>
          <w:b/>
          <w:bCs/>
        </w:rPr>
        <w:t xml:space="preserve">[attachment]</w:t>
      </w:r>
      <w:r>
        <w:t xml:space="preserve"> </w:t>
      </w:r>
      <w:r>
        <w:t xml:space="preserve">D1 · Sprawa_LP053_podwyzka-czynszu-w-trakcie-najmu-mieszkania-kiedy-jest-skuteczna-i-jak.md • fragment 1 — # STAN FAKTYCZNY I ZADANIE DLA KANCELARII (KAZUS: NAJEM I NIERUCHOMOŚCI)</w:t>
      </w:r>
    </w:p>
    <w:p>
      <w:pPr>
        <w:numPr>
          <w:ilvl w:val="0"/>
          <w:numId w:val="1042"/>
        </w:numPr>
      </w:pPr>
      <w:r>
        <w:rPr>
          <w:b/>
          <w:bCs/>
        </w:rPr>
        <w:t xml:space="preserve">[attachment]</w:t>
      </w:r>
      <w:r>
        <w:t xml:space="preserve"> </w:t>
      </w:r>
      <w:r>
        <w:t xml:space="preserve">D1 · Sprawa_LP053_podwyzka-czynszu-w-trakcie-najmu-mieszkania-kiedy-jest-skuteczna-i-jak.md • §5 Forma zmian</w:t>
      </w:r>
    </w:p>
    <w:p>
      <w:pPr>
        <w:numPr>
          <w:ilvl w:val="0"/>
          <w:numId w:val="1042"/>
        </w:numPr>
      </w:pPr>
      <w:r>
        <w:t xml:space="preserve">Wszelkie zmiany umowy wymagają formy pisemnej pod rygorem nieważności. • fragment 4 — # STAN FAKTYCZNY I ZADANIE DLA KANCELARII (KAZUS: NAJEM I NIERUCHOMOŚCI)</w:t>
      </w:r>
    </w:p>
    <w:bookmarkEnd w:id="33"/>
    <w:bookmarkEnd w:id="34"/>
    <w:bookmarkStart w:id="36" w:name="ii.-dokumenty-i-załączniki-dane-testowe"/>
    <w:p>
      <w:pPr>
        <w:pStyle w:val="Heading2"/>
      </w:pPr>
      <w:r>
        <w:t xml:space="preserve">II. Dokumenty i załączniki (dane testowe)</w:t>
      </w:r>
    </w:p>
    <w:bookmarkStart w:id="35" w:name="X292422e24c7ba51b5f454b32d7cb1381277a14a"/>
    <w:p>
      <w:pPr>
        <w:pStyle w:val="Heading3"/>
      </w:pPr>
      <w:r>
        <w:t xml:space="preserve">Załącznik nr 1 – Umowa najmu nr UM/████/89 z dnia 28.09.2023 r.</w:t>
      </w:r>
    </w:p>
    <w:p>
      <w:pPr>
        <w:pStyle w:val="FirstParagraph"/>
      </w:pPr>
      <w:r>
        <w:t xml:space="preserve">Umowa najmu zawarta dnia 28 września 2023 r. w Warszawie pomiędzy A. K., zam. 00-</w:t>
      </w:r>
      <w:r>
        <w:t xml:space="preserve"> </w:t>
      </w:r>
      <w:r>
        <w:t xml:space="preserve">4.</w:t>
      </w:r>
      <w:r>
        <w:t xml:space="preserve"> </w:t>
      </w:r>
      <w:r>
        <w:rPr>
          <w:b/>
          <w:bCs/>
        </w:rPr>
        <w:t xml:space="preserve">[attachment]</w:t>
      </w:r>
      <w:r>
        <w:t xml:space="preserve"> </w:t>
      </w:r>
      <w:r>
        <w:t xml:space="preserve">D1 · Sprawa_LP053_podwyzka-czynszu-w-trakcie-najmu-mieszkania-kiedy-jest-skuteczna-i-jak.md • fragment 2 — ## I. Zwięzły opis stanu faktycznego</w:t>
      </w:r>
      <w:r>
        <w:t xml:space="preserve"> </w:t>
      </w:r>
      <w:r>
        <w:t xml:space="preserve">- Strony sprawy:</w:t>
      </w:r>
      <w:r>
        <w:t xml:space="preserve"> </w:t>
      </w:r>
      <w:r>
        <w:t xml:space="preserve">- Wynajmujący: Pani A. K., zam. Warszawa, PESEL ███████████. Reprezentowana przez spółkę zarządzającą: „A. Sp. z o.o.”, Warszawa. Księga wieczysta KW nr ██/████████/█ (f</w:t>
      </w:r>
      <w:r>
        <w:t xml:space="preserve"> </w:t>
      </w:r>
      <w:r>
        <w:t xml:space="preserve">5.</w:t>
      </w:r>
      <w:r>
        <w:t xml:space="preserve"> </w:t>
      </w:r>
      <w:r>
        <w:rPr>
          <w:b/>
          <w:bCs/>
        </w:rPr>
        <w:t xml:space="preserve">[attachment]</w:t>
      </w:r>
      <w:r>
        <w:t xml:space="preserve"> </w:t>
      </w:r>
      <w:r>
        <w:t xml:space="preserve">D1 · Sprawa_LP053_podwyzka-czynszu-w-trakcie-najmu-mieszkania-kiedy-jest-skuteczna-i-jak.md • §5 Forma zmian</w:t>
      </w:r>
      <w:r>
        <w:t xml:space="preserve"> </w:t>
      </w:r>
      <w:r>
        <w:t xml:space="preserve">1. Wszelkie zmiany umowy wymagają formy pisemnej pod rygorem nieważności. • fragment 5 — Podpis odbiorcy (potwierdzenie odbioru): ………………………………… (brak podpisu w kopii e-mailowej)</w:t>
      </w:r>
    </w:p>
    <w:p>
      <w:pPr>
        <w:pStyle w:val="BodyText"/>
      </w:pPr>
      <w:r>
        <w:t xml:space="preserve">Uwagi admina: e-mail z załącznikiem pismo-15-06-2025.pdf dołączony do akt sprawy; sprzeciw Najemcy wpłynął 22.06.2025 r. (dokument w aktach).</w:t>
      </w:r>
    </w:p>
    <w:bookmarkEnd w:id="35"/>
    <w:bookmarkEnd w:id="36"/>
    <w:bookmarkStart w:id="37" w:name="iii.-wytyczne-i-zadania-do-analizy-pra"/>
    <w:p>
      <w:pPr>
        <w:pStyle w:val="Heading2"/>
      </w:pPr>
      <w:r>
        <w:t xml:space="preserve">III. Wytyczne i zadania do analizy pra</w:t>
      </w:r>
    </w:p>
    <w:p>
      <w:pPr>
        <w:pStyle w:val="Compact"/>
        <w:numPr>
          <w:ilvl w:val="0"/>
          <w:numId w:val="1044"/>
        </w:numPr>
      </w:pPr>
      <w:r>
        <w:rPr>
          <w:b/>
          <w:bCs/>
        </w:rPr>
        <w:t xml:space="preserve">[attachment]</w:t>
      </w:r>
      <w:r>
        <w:t xml:space="preserve"> </w:t>
      </w:r>
      <w:r>
        <w:t xml:space="preserve">D1 · Sprawa_LP053_podwyzka-czynszu-w-trakcie-najmu-mieszkania-kiedy-jest-skuteczna-i-jak.md • fragment 3 — z kwotą 3 200,00 zł z żądaniem uiszczenia różnicy za sierpień do 25.07.2025 r. - 21.07.2025 r. – Najemca wzywa Wynajmującego do utrzymania czynszu na poziomie umownym i informuje, że nie uznaje jednostronnej podwyżki; prosi o wyliczenie kalkulacji podwyżki. Wezwanie doręczone listem poleconym. - 25.</w:t>
      </w:r>
    </w:p>
    <w:p>
      <w:pPr>
        <w:pStyle w:val="Compact"/>
        <w:numPr>
          <w:ilvl w:val="0"/>
          <w:numId w:val="1044"/>
        </w:numPr>
      </w:pPr>
      <w:r>
        <w:rPr>
          <w:b/>
          <w:bCs/>
        </w:rPr>
        <w:t xml:space="preserve">[attachment]</w:t>
      </w:r>
      <w:r>
        <w:t xml:space="preserve"> </w:t>
      </w:r>
      <w:r>
        <w:t xml:space="preserve">D1 · Sprawa_LP053_podwyzka-czynszu-w-trakcie-najmu-mieszkania-kiedy-jest-skuteczna-i-jak.md • §5 Forma zmian</w:t>
      </w:r>
    </w:p>
    <w:p>
      <w:pPr>
        <w:pStyle w:val="Compact"/>
        <w:numPr>
          <w:ilvl w:val="0"/>
          <w:numId w:val="1044"/>
        </w:numPr>
      </w:pPr>
      <w:r>
        <w:t xml:space="preserve">Wszelkie zmiany umowy wymagają formy pisemnej pod rygorem nieważności. • fragment 6 — W analizie proszę wskazać konkretne przepisy (numer artykułu i ustawę) oraz krótkie odniesienie do orzecznictwa (wyroki SN/NSA/TSUE, jeśli istotne), opisując rozbieżności interpretacyjne i kierunki rozstrzygnięć sądowych.</w:t>
      </w:r>
    </w:p>
    <w:bookmarkEnd w:id="37"/>
    <w:bookmarkStart w:id="41" w:name="X99ad22c303571be48bb8b45f682f47b2448a1a3"/>
    <w:p>
      <w:pPr>
        <w:pStyle w:val="Heading2"/>
      </w:pPr>
      <w:r>
        <w:t xml:space="preserve">IV. Wymagane dokumenty i pisma do przygotowania</w:t>
      </w:r>
    </w:p>
    <w:p>
      <w:pPr>
        <w:pStyle w:val="FirstParagraph"/>
      </w:pPr>
      <w:r>
        <w:t xml:space="preserve">Proszę przygotować następu</w:t>
      </w:r>
      <w:r>
        <w:t xml:space="preserve"> </w:t>
      </w:r>
      <w:r>
        <w:t xml:space="preserve">8.</w:t>
      </w:r>
      <w:r>
        <w:t xml:space="preserve"> </w:t>
      </w:r>
      <w:r>
        <w:rPr>
          <w:b/>
          <w:bCs/>
        </w:rPr>
        <w:t xml:space="preserve">[ruling]</w:t>
      </w:r>
      <w:r>
        <w:t xml:space="preserve"> </w:t>
      </w:r>
      <w:r>
        <w:t xml:space="preserve">XV C 520/15 • 2016-06-07 • Sąd powszechny — Sygn. akt XV C 520/15 WYROK W IMIENIU RZECZYPOSPOLITEJ POLSKIEJ Dnia 7 czerwca 2016 r. Sąd Okręgowy w Gdańsku XV Wydział Cywilny w składzie następujacym: Przewodniczący : SSO M. M. Protokolant : stażysta K. I. po rozpoznaniu w dniu 24 maja 2016 r. w Gdańsku na rozprawie spr</w:t>
      </w:r>
      <w:r>
        <w:t xml:space="preserve"> </w:t>
      </w:r>
      <w:r>
        <w:t xml:space="preserve">9.</w:t>
      </w:r>
      <w:r>
        <w:t xml:space="preserve"> </w:t>
      </w:r>
      <w:r>
        <w:rPr>
          <w:b/>
          <w:bCs/>
        </w:rPr>
        <w:t xml:space="preserve">[ruling]</w:t>
      </w:r>
      <w:r>
        <w:t xml:space="preserve"> </w:t>
      </w:r>
      <w:r>
        <w:t xml:space="preserve">III SAB/Lu 20/18 • 2019-03-07 • Wojewódzki Sąd Administracyjny — Sentencja Wojewódzki Sąd Administracyjny w Lublinie w składzie następującym: Przewodniczący Sędzia WSA E. I. Sędziowie WSA J. D. WSA I. T. (sprawozdawca) Protokolant Referent M. Ś. po rozpoznaniu w Wydziale III na rozprawie w dniu 21 lutego 2019 r. sprawy ze skargi G. S</w:t>
      </w:r>
      <w:r>
        <w:t xml:space="preserve"> </w:t>
      </w:r>
      <w:r>
        <w:t xml:space="preserve">10.</w:t>
      </w:r>
      <w:r>
        <w:t xml:space="preserve"> </w:t>
      </w:r>
      <w:r>
        <w:rPr>
          <w:b/>
          <w:bCs/>
        </w:rPr>
        <w:t xml:space="preserve">[ruling]</w:t>
      </w:r>
      <w:r>
        <w:t xml:space="preserve"> </w:t>
      </w:r>
      <w:r>
        <w:t xml:space="preserve">I SA/Ol 449/18 • 2018-10-03 • Wojewódzki Sąd Administracyjny — Sentencja Wojewódzki Sąd Administracyjny w Olsztynie w składzie następującym: Przewodniczący sędzia WSA R. M. (sprawozdawca) Sędziowie sędzia WSA R. K. asesor WSA K. G. po rozpoznaniu w trybie uproszczonym w dniu 3 października 2018 r. na posiedzeniu niejawnym spra</w:t>
      </w:r>
      <w:r>
        <w:t xml:space="preserve"> </w:t>
      </w:r>
      <w:r>
        <w:t xml:space="preserve">11.</w:t>
      </w:r>
      <w:r>
        <w:t xml:space="preserve"> </w:t>
      </w:r>
      <w:r>
        <w:rPr>
          <w:b/>
          <w:bCs/>
        </w:rPr>
        <w:t xml:space="preserve">[ruling]</w:t>
      </w:r>
      <w:r>
        <w:t xml:space="preserve"> </w:t>
      </w:r>
      <w:r>
        <w:t xml:space="preserve">I SA/Gl 271/17 • 2017-05-10 • Wojewódzki Sąd Administracyjny — Sentencja Wojewódzki Sąd Administracyjny w Gliwicach w składzie następującym: Przewodniczący Sędzia WSA A. T. (spr.), Sędziowie WSA B. M., W. O., Protokolant D. Z., po rozpoznaniu na rozprawie w dniu 26 kwietnia 2017 r. sprawy ze skargi E. M.</w:t>
      </w:r>
      <w:r>
        <w:t xml:space="preserve"> </w:t>
      </w:r>
      <w:r>
        <w:t xml:space="preserve">12.</w:t>
      </w:r>
      <w:r>
        <w:t xml:space="preserve"> </w:t>
      </w:r>
      <w:r>
        <w:rPr>
          <w:b/>
          <w:bCs/>
        </w:rPr>
        <w:t xml:space="preserve">[ruling]</w:t>
      </w:r>
      <w:r>
        <w:t xml:space="preserve"> </w:t>
      </w:r>
      <w:r>
        <w:t xml:space="preserve">I SA/Gl 273/17 • 2017-06-07 • Wojewódzki Sąd Administracyjny — Sentencja Wojewódzki Sąd Administracyjny w Gliwicach w składzie następującym: Przewodniczący Sędzia WSA A. T. ( spr.), Sędziowie WSA, W. G., W. O., , , po rozpoznaniu w trybie uproszczonym w dniu 7 czerwca 2017 r. sprawy ze skargi P. M. na postanowienie M</w:t>
      </w:r>
      <w:r>
        <w:t xml:space="preserve"> </w:t>
      </w:r>
      <w:r>
        <w:t xml:space="preserve">13.</w:t>
      </w:r>
      <w:r>
        <w:t xml:space="preserve"> </w:t>
      </w:r>
      <w:r>
        <w:rPr>
          <w:b/>
          <w:bCs/>
        </w:rPr>
        <w:t xml:space="preserve">[ruling]</w:t>
      </w:r>
      <w:r>
        <w:t xml:space="preserve"> </w:t>
      </w:r>
      <w:r>
        <w:t xml:space="preserve">II C 69/15 • 2016-03-08 • Sąd powszechny — . Sygn. II C 69/15 WYROK W IMIENIU RZECZYPOSPOLITEJ POLSKIEJ Dnia 8 marca 2016 r. Sąd Okręgowy Warszawa Praga w Warszawie II Wydział Cywilny w składzie następującym: Przewodniczący: SSO G. K. Protokolant: K. P. po rozpoznaniu na rozprawie w dniu 23 lutego 2016r. w Warszawie</w:t>
      </w:r>
      <w:r>
        <w:t xml:space="preserve"> </w:t>
      </w:r>
      <w:r>
        <w:t xml:space="preserve">14.</w:t>
      </w:r>
      <w:r>
        <w:t xml:space="preserve"> </w:t>
      </w:r>
      <w:r>
        <w:rPr>
          <w:b/>
          <w:bCs/>
        </w:rPr>
        <w:t xml:space="preserve">[ruling]</w:t>
      </w:r>
      <w:r>
        <w:t xml:space="preserve"> </w:t>
      </w:r>
      <w:r>
        <w:t xml:space="preserve">II SA/Po 932/15 • 2017-02-24 • Wojewódzki Sąd Administracyjny — Sentencja Wojewódzki Sąd Administracyjny w Poznaniu w składzie następującym: Przewodniczący: sędzia WSA I. P. po rozpoznaniu w dniu 24 lutego 2017 r. na posiedzeniu niejawnym sprzeciwu skarżącego od postanowienia referendarza sądowego z dnia 26 stycznia 2017 r. sygn. akt II SA/Po 932/1</w:t>
      </w:r>
      <w:r>
        <w:t xml:space="preserve"> </w:t>
      </w:r>
      <w:r>
        <w:t xml:space="preserve">15.</w:t>
      </w:r>
      <w:r>
        <w:t xml:space="preserve"> </w:t>
      </w:r>
      <w:r>
        <w:rPr>
          <w:b/>
          <w:bCs/>
        </w:rPr>
        <w:t xml:space="preserve">[ruling]</w:t>
      </w:r>
      <w:r>
        <w:t xml:space="preserve"> </w:t>
      </w:r>
      <w:r>
        <w:t xml:space="preserve">II AKz 432/17 • 2017-11-14 • Sąd powszechny — Sygn. akt II AKz 432/17 POSTANOWIENIE Dnia 14 listopada 2017 roku Sąd Apelacyjny w Krakowie w II Wydziale Karnym w składzie: Przewodniczący: SSA B. N. Protokolant: st. sekr. sądowy M. P. po rozpoznaniu w sprawie A. Ś. (1) i innych podejrzanego z art. 258 § 3 k.k. i inne z</w:t>
      </w:r>
      <w:r>
        <w:t xml:space="preserve"> </w:t>
      </w:r>
      <w:r>
        <w:t xml:space="preserve">16.</w:t>
      </w:r>
      <w:r>
        <w:t xml:space="preserve"> </w:t>
      </w:r>
      <w:r>
        <w:rPr>
          <w:b/>
          <w:bCs/>
        </w:rPr>
        <w:t xml:space="preserve">[ruling]</w:t>
      </w:r>
      <w:r>
        <w:t xml:space="preserve"> </w:t>
      </w:r>
      <w:r>
        <w:t xml:space="preserve">I SA/Rz 459/17 • 2017-09-28 • Wojewódzki Sąd Administracyjny — Sentencja Wojewódzki Sąd Administracyjny w Rzeszowie w składzie następującym: P. S. NSA J. S. / spr./ Sędziowie WSA P. P. WSA Kazimierz Włoch po rozpoznaniu w trybie uproszczonym na posiedzeniu niejawnym w dniu 28 września 2017 r. sprawy ze skargi W. B. na postanowienie Dyr</w:t>
      </w:r>
      <w:r>
        <w:t xml:space="preserve"> </w:t>
      </w:r>
      <w:r>
        <w:t xml:space="preserve">17.</w:t>
      </w:r>
      <w:r>
        <w:t xml:space="preserve"> </w:t>
      </w:r>
      <w:r>
        <w:rPr>
          <w:b/>
          <w:bCs/>
        </w:rPr>
        <w:t xml:space="preserve">[ruling]</w:t>
      </w:r>
      <w:r>
        <w:t xml:space="preserve"> </w:t>
      </w:r>
      <w:r>
        <w:t xml:space="preserve">II SA/Gl 541/18 • 2018-09-07 • Wojewódzki Sąd Administracyjny — Sentencja Wojewódzki Sąd Administracyjny w Gliwicach w składzie następującym: Przewodniczący Sędzia WSA A. Ż. (spr.), po rozpoznaniu na posiedzeniu niejawnym w dniu 7 września 2018 r. sprawy ze sprzeciwu Syndyka masy upadłości</w:t>
      </w:r>
      <w:r>
        <w:t xml:space="preserve"> </w:t>
      </w:r>
      <w:r>
        <w:t xml:space="preserve">“A”</w:t>
      </w:r>
      <w:r>
        <w:t xml:space="preserve"> </w:t>
      </w:r>
      <w:r>
        <w:t xml:space="preserve">S.A. w upadłości likwidacyjnej z siedzibą w K. od decyzji Woj</w:t>
      </w:r>
      <w:r>
        <w:t xml:space="preserve"> </w:t>
      </w:r>
      <w:r>
        <w:t xml:space="preserve">18.</w:t>
      </w:r>
      <w:r>
        <w:t xml:space="preserve"> </w:t>
      </w:r>
      <w:r>
        <w:rPr>
          <w:b/>
          <w:bCs/>
        </w:rPr>
        <w:t xml:space="preserve">[ruling]</w:t>
      </w:r>
      <w:r>
        <w:t xml:space="preserve"> </w:t>
      </w:r>
      <w:r>
        <w:t xml:space="preserve">II PK 122/09 • 2009-10-28 • Sąd Najwyższy — Sygn. akt II PK 122/09 WYROK W IMIENIU RZECZYPOSPOLITEJ POLSKIEJ Dnia 28 października 2009 r. Sąd Najwyższy w składzie : SSN J. S. (przewodniczący, sprawozdawca) SSN M. G. SSN Z. M. w sprawie z powództwa K. G. przeciwko Przedsiębiorstwu Produkcyjno-Usług</w:t>
      </w:r>
      <w:r>
        <w:t xml:space="preserve"> </w:t>
      </w:r>
      <w:r>
        <w:t xml:space="preserve">19.</w:t>
      </w:r>
      <w:r>
        <w:t xml:space="preserve"> </w:t>
      </w:r>
      <w:r>
        <w:rPr>
          <w:b/>
          <w:bCs/>
        </w:rPr>
        <w:t xml:space="preserve">[ruling]</w:t>
      </w:r>
      <w:r>
        <w:t xml:space="preserve"> </w:t>
      </w:r>
      <w:r>
        <w:t xml:space="preserve">V SA 3048/03 • 2004-09-23 • Wojewódzki Sąd Administracyjny — Sentencja Wojewódzki Sąd Administracyjny w Warszawie w składzie następującym: Przewodniczący Sędzia WSA - B. M., Sędziowie WSA - D. M. (spr.), - M. P., Protokolant - M. J., po rozpoznaniu na rozprawie w dniu 23 września 2004 r. sprawy ze skargi</w:t>
      </w:r>
      <w:r>
        <w:t xml:space="preserve"> </w:t>
      </w:r>
      <w:r>
        <w:t xml:space="preserve">20.</w:t>
      </w:r>
      <w:r>
        <w:t xml:space="preserve"> </w:t>
      </w:r>
      <w:r>
        <w:rPr>
          <w:b/>
          <w:bCs/>
        </w:rPr>
        <w:t xml:space="preserve">[ruling]</w:t>
      </w:r>
      <w:r>
        <w:t xml:space="preserve"> </w:t>
      </w:r>
      <w:r>
        <w:t xml:space="preserve">III W 572/19 • 2019-07-23 • Sąd powszechny — III W 572/19 UZASADNIENIE W dniu 17 grudnia 2017 r. około godziny 10:45 patrol Straży Miejskiej, w składzie (…), ujawnił wykroczenie polegające na zatrzymaniu pojazdu marki M. o numerze rejestracyjnym (…) o masie powyżej 16 ton i długości powyżej 12 m w terenie zabudowanym. W bazie (…) ustalon</w:t>
      </w:r>
      <w:r>
        <w:t xml:space="preserve"> </w:t>
      </w:r>
      <w:r>
        <w:t xml:space="preserve">21.</w:t>
      </w:r>
      <w:r>
        <w:t xml:space="preserve"> </w:t>
      </w:r>
      <w:r>
        <w:rPr>
          <w:b/>
          <w:bCs/>
        </w:rPr>
        <w:t xml:space="preserve">[ruling]</w:t>
      </w:r>
      <w:r>
        <w:t xml:space="preserve"> </w:t>
      </w:r>
      <w:r>
        <w:t xml:space="preserve">C-445/11 • 2012-12-19 • Trybunał Sprawiedliwości Unii Europejskiej — × This site uses cookies to improve your browsing experience. Would you like to keep them? Accept Refuse Skip to main content Access to European Union law EUR-Lex Access to European Union law English EN (current language) Language български (bg) Español (es) Čeština (cs) Dansk (d</w:t>
      </w:r>
      <w:r>
        <w:t xml:space="preserve"> </w:t>
      </w:r>
      <w:r>
        <w:t xml:space="preserve">22.</w:t>
      </w:r>
      <w:r>
        <w:t xml:space="preserve"> </w:t>
      </w:r>
      <w:r>
        <w:rPr>
          <w:b/>
          <w:bCs/>
        </w:rPr>
        <w:t xml:space="preserve">[ruling]</w:t>
      </w:r>
      <w:r>
        <w:t xml:space="preserve"> </w:t>
      </w:r>
      <w:r>
        <w:t xml:space="preserve">IV SA/Po 414/07 • 2007-06-01 • Wojewódzki Sąd Administracyjny — Sentencja Połączyć do wspólnego rozpoznania i rozstrzygnięcia. /-/ E. Makosz-Frymus</w:t>
      </w:r>
      <w:r>
        <w:t xml:space="preserve"> </w:t>
      </w:r>
      <w:r>
        <w:t xml:space="preserve">23.</w:t>
      </w:r>
      <w:r>
        <w:t xml:space="preserve"> </w:t>
      </w:r>
      <w:r>
        <w:rPr>
          <w:b/>
          <w:bCs/>
        </w:rPr>
        <w:t xml:space="preserve">[ruling]</w:t>
      </w:r>
      <w:r>
        <w:t xml:space="preserve"> </w:t>
      </w:r>
      <w:r>
        <w:t xml:space="preserve">IV SA/Po 928/09 • 2009-12-01 • Wojewódzki Sąd Administracyjny — Sentencja Połączono do wspólnego rozpoznania i rozstrzygnięcia. /-/ E.Kręcichwost-Durchowska</w:t>
      </w:r>
      <w:r>
        <w:t xml:space="preserve"> </w:t>
      </w:r>
      <w:r>
        <w:t xml:space="preserve">24.</w:t>
      </w:r>
      <w:r>
        <w:t xml:space="preserve"> </w:t>
      </w:r>
      <w:r>
        <w:rPr>
          <w:b/>
          <w:bCs/>
        </w:rPr>
        <w:t xml:space="preserve">[ruling]</w:t>
      </w:r>
      <w:r>
        <w:t xml:space="preserve"> </w:t>
      </w:r>
      <w:r>
        <w:t xml:space="preserve">C-501/09 • 2011-03-10 • Trybunał Sprawiedliwości Unii Europejskiej — # C-501/09 &gt;</w:t>
      </w:r>
      <w:r>
        <w:t xml:space="preserve"> </w:t>
      </w:r>
      <w:r>
        <w:rPr>
          <w:b/>
          <w:bCs/>
        </w:rPr>
        <w:t xml:space="preserve">Wyrok — Trybunał Sprawiedliwości</w:t>
      </w:r>
      <w:r>
        <w:t xml:space="preserve"> </w:t>
      </w:r>
      <w:r>
        <w:t xml:space="preserve">· 2011-03-10 · ECLI:EU:C:2010:55 · CELEX 62009CO0501 · język tekstu: PL</w:t>
      </w:r>
      <w:r>
        <w:t xml:space="preserve"> </w:t>
      </w:r>
      <w:r>
        <w:drawing>
          <wp:inline>
            <wp:extent cx="3810000" cy="2540000"/>
            <wp:effectExtent b="0" l="0" r="0" t="0"/>
            <wp:docPr descr="Image 1" title="" id="39" name="Picture"/>
            <a:graphic>
              <a:graphicData uri="http://schemas.openxmlformats.org/drawingml/2006/picture">
                <pic:pic>
                  <pic:nvPicPr>
                    <pic:cNvPr descr="https://webtools.europa.eu/images/flags/eu.svg" id="40" name="Picture"/>
                    <pic:cNvPicPr>
                      <a:picLocks noChangeArrowheads="1" noChangeAspect="1"/>
                    </pic:cNvPicPr>
                  </pic:nvPicPr>
                  <pic:blipFill>
                    <a:blip r:embed="rId38"/>
                    <a:stretch>
                      <a:fillRect/>
                    </a:stretch>
                  </pic:blipFill>
                  <pic:spPr bwMode="auto">
                    <a:xfrm>
                      <a:off x="0" y="0"/>
                      <a:ext cx="3810000" cy="2540000"/>
                    </a:xfrm>
                    <a:prstGeom prst="rect">
                      <a:avLst/>
                    </a:prstGeom>
                    <a:noFill/>
                    <a:ln w="9525">
                      <a:noFill/>
                      <a:headEnd/>
                      <a:tailEnd/>
                    </a:ln>
                  </pic:spPr>
                </pic:pic>
              </a:graphicData>
            </a:graphic>
          </wp:inline>
        </w:drawing>
      </w:r>
      <w:r>
        <w:t xml:space="preserve">An official website of the European Union An official EU website How do you know? All official European Union website ad</w:t>
      </w:r>
    </w:p>
    <w:bookmarkEnd w:id="41"/>
    <w:bookmarkEnd w:id="4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 Target="media/rId38.sht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2026-10-05T13:29:43Z</dcterms:created>
  <dcterms:modified xsi:type="dcterms:W3CDTF">2026-10-05T13:29:43Z</dcterms:modified>
</cp:coreProperties>
</file>

<file path=docProps/custom.xml><?xml version="1.0" encoding="utf-8"?>
<Properties xmlns="http://schemas.openxmlformats.org/officeDocument/2006/custom-properties" xmlns:vt="http://schemas.openxmlformats.org/officeDocument/2006/docPropsVTypes"/>
</file>