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sprawa-049-stan-faktyczny-i-dokumenty"/>
    <w:p>
      <w:pPr>
        <w:pStyle w:val="Heading1"/>
      </w:pPr>
      <w:r>
        <w:t xml:space="preserve">Sprawa 049 — stan faktyczny i dokumenty</w:t>
      </w:r>
    </w:p>
    <w:bookmarkStart w:id="9" w:name="X70c1e536ca3d0a9ab82f0125e1bc42fbef547d0"/>
    <w:p>
      <w:pPr>
        <w:pStyle w:val="Heading2"/>
      </w:pPr>
      <w:r>
        <w:t xml:space="preserve">CZĘŚĆ I. SPRAWA (kazus + załączniki — dane testowe)</w:t>
      </w:r>
    </w:p>
    <w:bookmarkEnd w:id="9"/>
    <w:bookmarkEnd w:id="10"/>
    <w:bookmarkStart w:id="17" w:name="X83202af9fbf39e037448491ec2a53e9a80b3353"/>
    <w:p>
      <w:pPr>
        <w:pStyle w:val="Heading1"/>
      </w:pPr>
      <w:r>
        <w:t xml:space="preserve">STAN FAKTYCZNY I ZADANIE DLA KANCELARII (KAZUS: NAJEM I NIERUCHOMOŚCI)</w:t>
      </w:r>
    </w:p>
    <w:bookmarkStart w:id="11" w:name="i.-zwięzły-opis-stanu-faktycznego"/>
    <w:p>
      <w:pPr>
        <w:pStyle w:val="Heading2"/>
      </w:pPr>
      <w:r>
        <w:t xml:space="preserve">I. Zwięzły opis stanu faktycznego</w:t>
      </w:r>
    </w:p>
    <w:p>
      <w:pPr>
        <w:pStyle w:val="FirstParagraph"/>
      </w:pPr>
      <w:r>
        <w:t xml:space="preserve">Strony sprawy</w:t>
      </w:r>
      <w:r>
        <w:t xml:space="preserve"> </w:t>
      </w:r>
      <w:r>
        <w:t xml:space="preserve">- Twój Klient: M. K., PESEL PESEL ███████████, zam. Warszawa. Wiek 30 lat. M. K. mieszkania nr 12 w inwestycji „Osiedle Słoneczne”, budynek B, lokalizacja: Warszawa. Wpis w KW nr KW nr WA1M/████████/█ (fikcyjny).</w:t>
      </w:r>
      <w:r>
        <w:t xml:space="preserve"> </w:t>
      </w:r>
      <w:r>
        <w:t xml:space="preserve">- Strona przeciwna (deweloper): Spółka DEWBUD S.A., KRS KRS ██████████, siedziba Warszawa. Reprezentowana przez pełnomocnika — A. M.. Umowa deweloperska nr UM/████/███/███ z 12.05.2023 r.</w:t>
      </w:r>
    </w:p>
    <w:p>
      <w:pPr>
        <w:pStyle w:val="BodyText"/>
      </w:pPr>
      <w:r>
        <w:t xml:space="preserve">Dokładne daty, kwoty i numery</w:t>
      </w:r>
      <w:r>
        <w:t xml:space="preserve"> </w:t>
      </w:r>
      <w:r>
        <w:t xml:space="preserve">- 12.05.2023 r. — zawarcie umowy deweloperskiej nr UM/████/███/███ między Panem Michałem Kowalczykiem (nabywca) a DEWBUD S.A. Cena sprzedaży lokalu: 420 000,00 zł brutto. W umowie zadatek/przelew: I rata 42 000,00 zł (10%) wpłacona 20.05.2023 r. (faktura zaliczkowa nr FV/████/██/██/███).</w:t>
      </w:r>
      <w:r>
        <w:t xml:space="preserve"> </w:t>
      </w:r>
      <w:r>
        <w:t xml:space="preserve">- Paragraf 7 umowy (Przekazanie lokalu) przewiduje datę przekazania: do 30.09.2024 r. (z klauzulą umożliwiającą odstępstwo o maks. 120 dni z przyczyn niezależnych od dewelopera).</w:t>
      </w:r>
      <w:r>
        <w:t xml:space="preserve"> </w:t>
      </w:r>
      <w:r>
        <w:t xml:space="preserve">- 18.10.2024 r. — protokół odbioru lokalu nr PR/██/██.██.████ sporządzony przez przedstawiciela dewelopera i podpisany przez M. K. (Załącznik nr 1). W protokole wpisano 12 punktów „usterki zauważone podczas odbioru” (szczegóły w załączniku) oraz klauzulę: „M. K. przyjmuje lokal z zastrzeżeniem usunięcia wskazanych wad w terminie 30 dni od daty odbioru”. Podpisy: M. K. i przedstawiciel DEWBUD S.A.</w:t>
      </w:r>
      <w:r>
        <w:t xml:space="preserve"> </w:t>
      </w:r>
      <w:r>
        <w:t xml:space="preserve">- 20.10.2024 r. — wystawione przez DEWBUD S.A. pisemne potwierdzenie (wewnętrzne) naprawy wad do 30.11.2024 r. (wewnętrzna notatka firmy — kopia u dewelopera).</w:t>
      </w:r>
      <w:r>
        <w:t xml:space="preserve"> </w:t>
      </w:r>
      <w:r>
        <w:t xml:space="preserve">- 15.11.2024 r. — M. K. przesyła e-mail i list polecony (potwierdzenie odbioru 18.11.2024) do DEWBUD S.A. z doprecyzowaniem zakresu napraw i żądaniem informacji o terminie wykonania oraz prośbą o protokół po naprawie.</w:t>
      </w:r>
      <w:r>
        <w:t xml:space="preserve"> </w:t>
      </w:r>
      <w:r>
        <w:t xml:space="preserve">- 28.11.2024 r. — częściowe usunięcie wad (głównie kosmetyczne). M. K. sporządza 29.11.2024 r. zdjęcia i pismo z żądaniem usunięcia wad konstrukcyjnych i instalacyjnych, wskazując, że instalacja grzewcza przecieka, parapety mają spękania, drzwi balkonowe nieszczelne. Pismo doręczone DEWBUD S.A. 02.12.2024 r. (potwierdzenie odbioru 03.12.2024).</w:t>
      </w:r>
      <w:r>
        <w:t xml:space="preserve"> </w:t>
      </w:r>
      <w:r>
        <w:t xml:space="preserve">- 10.12.2024 r. — DEWBUD S.A. odpowiada pismem (wewn. znak: ODP/████/████/███) twierdząc, że większość usterek została usunięta, a pozostałe są „drobne” i zostaną usunięte w ramach gwarancji po zgłoszeniu w zgłoszeniowym systemie serwisowym. DEWBUD S.A. powołuje się na §12 umowy (Gwarancja i rękojmia), gdzie wskazano 12-miesięczny okres zgłoszeń i zapis, iż deweloper ma 60 dni na usunięcie zgłoszonych wad licząc od daty zgłoszenia.</w:t>
      </w:r>
      <w:r>
        <w:t xml:space="preserve"> </w:t>
      </w:r>
      <w:r>
        <w:t xml:space="preserve">- 15.01.2025 r. — M. K. ponownie zgłasza (formularz zgłoszeniowy serwisowy, nr ZG-████-████) wadę przeciekającej instalacji grzewczej oraz nieszczelność drzwi balkonowych. Zgłoszenie zostało zarejestrowane przez serwis DEWBUD S.A. 17.01.2025 r.</w:t>
      </w:r>
      <w:r>
        <w:t xml:space="preserve"> </w:t>
      </w:r>
      <w:r>
        <w:t xml:space="preserve">- 20.02.2025 r. — dział serwisowy wykonał naprawę „czasową” (raport serwisowy nr RS-██/████). Po naprawie przewidziano obserwację 30 dni. M. K. twierdzi, że przecieki powróciły w marcu 2025 r.</w:t>
      </w:r>
      <w:r>
        <w:t xml:space="preserve"> </w:t>
      </w:r>
      <w:r>
        <w:t xml:space="preserve">- 10.03.2025 r. — M. K. wysyła kolejne pismo polecone (znak: MK/████/██/██) z żądaniem: a) usunięcia wad w terminie 14 dni, b) obniżenia ceny o 15% za okres, w którym lokal ze względu na wady nie mógł być w pełni użytkowany, oraz c) zapłaty 3 500,00 zł netto kosztów napraw wykonanych przez niezależnego fachowca (faktura nr F/████/██/██/███) – roboty hydrauliczne i wymiana uszczelnień. Dokumenty doręczone 12.03.2025 r.</w:t>
      </w:r>
      <w:r>
        <w:t xml:space="preserve"> </w:t>
      </w:r>
      <w:r>
        <w:t xml:space="preserve">- 28.03.2025 r. — DEWBUD S.A. pismem (znak REP/████/██/██/██) odmówił obniżenia ceny i zapłaty kosztów napraw wykonanych przez osobę trzecią, wskazując, że prace te były wykonywane bez zgody serwisu, co uniemożliwia potwierdzenie przyczyny awarii. DEWBUD S.A. powołuje się na §12 ust. 4 umowy, który przewiduje, że nabywca nie może zlecać remontów/napraw bez uprzedniej zgody wykonawcy, a koszty wykonane bez zgody nie będą zwracane.</w:t>
      </w:r>
      <w:r>
        <w:t xml:space="preserve"> </w:t>
      </w:r>
      <w:r>
        <w:t xml:space="preserve">- 02.04.2025 r. — M. K. wnioskuje do DEWBUD S.A. o sporządzenie protokołu powykonawczego oraz o wyznaczenie rzeczoznawcy budowlanego celem sporządzenia ekspertyzy; żąda też zabezpieczenia roszczeń (blokada środków na rachunku powierniczym/deklaracja zabezpieczenia) — odpowiedź brak.</w:t>
      </w:r>
      <w:r>
        <w:t xml:space="preserve"> </w:t>
      </w:r>
      <w:r>
        <w:t xml:space="preserve">- 20.04.2025 r. — termin przedawnienia ewentualnych roszczeń zdaniem M. K. (5 lat) zbliża się — klient jest zaniepokojony i zwraca się do kancelarii.</w:t>
      </w:r>
    </w:p>
    <w:p>
      <w:pPr>
        <w:pStyle w:val="BodyText"/>
      </w:pPr>
      <w:r>
        <w:t xml:space="preserve">Przedmiot sprawy i kluczowe postanowienia umowy</w:t>
      </w:r>
      <w:r>
        <w:t xml:space="preserve"> </w:t>
      </w:r>
      <w:r>
        <w:t xml:space="preserve">- Przedmiot: roszczenia z tytułu rękojmi/gwarancji za wady fizyczne rzeczy sprzedanej (lokalu) oraz roszczenia kosztowe (zwrot kosztów napraw), obniżenie ceny i ewentualne odszkodowanie za niewykonanie/uszkodzenie instalacji.</w:t>
      </w:r>
      <w:r>
        <w:t xml:space="preserve"> </w:t>
      </w:r>
      <w:r>
        <w:t xml:space="preserve">- Kluczowe postanowienia umowy (umowa UM/████/███/███, par. 12 i 15):</w:t>
      </w:r>
      <w:r>
        <w:t xml:space="preserve"> </w:t>
      </w:r>
      <w:r>
        <w:t xml:space="preserve">- §12 ust.1: deweloper udziela 36-miesięcznej gwarancji na instalacje wewnętrzne; ust.2: zgłoszenia wad w okresie 12 miesięcy od daty odbioru. Ust.4: „M. K. zobowiązany jest do nieprzeprowadzania robót naprawczych bez uprzedniego zgłoszenia i uzyskania zgody dewelopera. Wykonanie napraw bez zgody powoduje utratę prawa do zwrotu kosztów.” (postanowienie abuzywne i sprzeczne z ustawą? — do analizy).</w:t>
      </w:r>
      <w:r>
        <w:t xml:space="preserve"> </w:t>
      </w:r>
      <w:r>
        <w:t xml:space="preserve">- §7 ust.3: „Przekazanie lokalu następuje po podpisaniu protokołu odbioru; uwagi wpisane w protokole będą usuwane przez dewelopera w terminie wskazanym w protokole.”</w:t>
      </w:r>
      <w:r>
        <w:t xml:space="preserve"> </w:t>
      </w:r>
      <w:r>
        <w:t xml:space="preserve">- §15 ust.1: „Roszczenia wynikające z rękojmi i gwarancji przedawniają się z upływem 12 miesięcy; wszelkie inne roszczenia wygasają po 36 miesiącach.” (konflikt z przepisami kodeksu cywilnego — do analizy).</w:t>
      </w:r>
    </w:p>
    <w:p>
      <w:pPr>
        <w:pStyle w:val="BodyText"/>
      </w:pPr>
      <w:r>
        <w:t xml:space="preserve">Chronologia konfliktu i dotychczasowe działania</w:t>
      </w:r>
      <w:r>
        <w:t xml:space="preserve"> </w:t>
      </w:r>
      <w:r>
        <w:t xml:space="preserve">- Odbiór mieszkania i sporządzenie protokołu z zastrzeżeniami (18.10.2024).</w:t>
      </w:r>
      <w:r>
        <w:t xml:space="preserve"> </w:t>
      </w:r>
      <w:r>
        <w:t xml:space="preserve">- Cykliczne zgłoszenia wad (11/2024–03/2025), częściowe naprawy przez serwis dewelopera, prace przez fachowca zewnętrznego (faktura 3 500,00 zł) wykonane przez M. K. 05.03.2025 r. z powodu pilnej awarii.</w:t>
      </w:r>
      <w:r>
        <w:t xml:space="preserve"> </w:t>
      </w:r>
      <w:r>
        <w:t xml:space="preserve">- DEWBUD S.A. odmawia zwrotu kosztów i obniżenia ceny, powołując się na zapisy umowne zabraniające samodzielnych napraw i na konieczność zgłoszeń przez system serwisowy.</w:t>
      </w:r>
      <w:r>
        <w:t xml:space="preserve"> </w:t>
      </w:r>
      <w:r>
        <w:t xml:space="preserve">- Brak zgody dewelopera na powołanie niezależnego rzeczoznawcy ani zaoferowanie zabezpieczenia roszczeń.</w:t>
      </w:r>
    </w:p>
    <w:p>
      <w:pPr>
        <w:pStyle w:val="BodyText"/>
      </w:pPr>
      <w:r>
        <w:t xml:space="preserve">Stanowisko strony przeciwnej</w:t>
      </w:r>
      <w:r>
        <w:t xml:space="preserve"> </w:t>
      </w:r>
      <w:r>
        <w:t xml:space="preserve">- DEWBUD S.A. twierdzi, że większość wad została usunięta; odmowa zwrotu kosztów prac wykonanych bez zgody serwisu; powołanie się na postanowienia umowne ograniczające roszczenia oraz terminy przedawnienia określone w umowie (§15 ust.1).</w:t>
      </w:r>
      <w:r>
        <w:t xml:space="preserve"> </w:t>
      </w:r>
      <w:r>
        <w:t xml:space="preserve">- DEWBUD S.A. kwestionuje związek przyczynowy między przeprowadzonymi naprawami (fakturą 3 500,00 zł) a wadami powstałymi z winy wykonawcy inwestycji, wskazując na brak dostępu do dokumentacji potwierdzającej usunięcie usterek przez niezależnego fachowca.</w:t>
      </w:r>
    </w:p>
    <w:p>
      <w:pPr>
        <w:pStyle w:val="BodyText"/>
      </w:pPr>
      <w:r>
        <w:t xml:space="preserve">Stan klienta</w:t>
      </w:r>
      <w:r>
        <w:t xml:space="preserve"> </w:t>
      </w:r>
      <w:r>
        <w:t xml:space="preserve">- Twój Klient (M. K.) domaga się: 1) stwierdzenia odpowiedzialności dewelopera za wady; 2) zwrotu kosztów wykonanych napraw — 3 500,00 zł netto; 3) obniżenia ceny o 15% (63 000,00 zł) za okres ograniczonego użytkowania do czasu usunięcia wad; 4) wskazania i zabezpieczenia roszczeń; 5) pokrycia kosztów ekspertyzy rzeczoznawcy (przewidywany koszt ekspertizy: 4 800,00 zł brutto).</w:t>
      </w:r>
    </w:p>
    <w:bookmarkEnd w:id="11"/>
    <w:bookmarkStart w:id="14" w:name="ii.-dokumenty-i-załączniki-dane-testowe"/>
    <w:p>
      <w:pPr>
        <w:pStyle w:val="Heading2"/>
      </w:pPr>
      <w:r>
        <w:t xml:space="preserve">II. Dokumenty i załączniki (dane testowe)</w:t>
      </w:r>
    </w:p>
    <w:bookmarkStart w:id="12" w:name="X666cc0662dee29d02e104398b835a4972c75896"/>
    <w:p>
      <w:pPr>
        <w:pStyle w:val="Heading3"/>
      </w:pPr>
      <w:r>
        <w:t xml:space="preserve">Załącznik nr 1 – Protokół odbioru lokalu nr PR/██/██.██.████</w:t>
      </w:r>
    </w:p>
    <w:p>
      <w:pPr>
        <w:pStyle w:val="FirstParagraph"/>
      </w:pPr>
      <w:r>
        <w:t xml:space="preserve">Protokół odbioru lokalu nr PR/██/██.██.████</w:t>
      </w:r>
      <w:r>
        <w:t xml:space="preserve"> </w:t>
      </w:r>
      <w:r>
        <w:t xml:space="preserve">Sporządzony dnia 18 października 2024 r. w Warszawie, ul. Polna 5, bud. B, lokal nr 12.</w:t>
      </w:r>
    </w:p>
    <w:p>
      <w:pPr>
        <w:pStyle w:val="BodyText"/>
      </w:pPr>
      <w:r>
        <w:t xml:space="preserve">Strony protokołu:</w:t>
      </w:r>
      <w:r>
        <w:t xml:space="preserve"> </w:t>
      </w:r>
      <w:r>
        <w:t xml:space="preserve">- DEWBUD S.A.: DEWBUD S.A., Warszawa, reprezentowany przez inż. Tomasza Nowaka (kierownik budowy).</w:t>
      </w:r>
      <w:r>
        <w:t xml:space="preserve"> </w:t>
      </w:r>
      <w:r>
        <w:t xml:space="preserve">- M. K.: M. K., Warszawa.</w:t>
      </w:r>
    </w:p>
    <w:p>
      <w:pPr>
        <w:pStyle w:val="BodyText"/>
      </w:pPr>
      <w:r>
        <w:t xml:space="preserve">Stwierdzenia:</w:t>
      </w:r>
      <w:r>
        <w:t xml:space="preserve"> </w:t>
      </w:r>
      <w:r>
        <w:t xml:space="preserve">1. Data przekazania: 18.10.2024 r.</w:t>
      </w:r>
      <w:r>
        <w:t xml:space="preserve"> </w:t>
      </w:r>
      <w:r>
        <w:t xml:space="preserve">2. Stan lokalu: zgodny z projektem; uwagi i wady wymienione poniżej wymagają usunięcia w terminie 30 dni:</w:t>
      </w:r>
      <w:r>
        <w:t xml:space="preserve"> </w:t>
      </w:r>
      <w:r>
        <w:t xml:space="preserve">a) Instalacja grzewcza – przecieki w przewodzie przyłączeniowym zasilającym kaloryfer w pokoju dziennym (lokalizacja: ściana przy oknie balkonowym) — dziury/spaw nieszczelny. (oznaczenie w protokole: U1)</w:t>
      </w:r>
      <w:r>
        <w:t xml:space="preserve"> </w:t>
      </w:r>
      <w:r>
        <w:t xml:space="preserve">b) Drzwi balkonowe – nieszczelność uszczelki dolnej, pojawiający się efekt „ciągnięcia” powietrza; konieczność regulacji zawiasów (U2)</w:t>
      </w:r>
      <w:r>
        <w:t xml:space="preserve"> </w:t>
      </w:r>
      <w:r>
        <w:t xml:space="preserve">c) Parapety zewnętrzne – spękania powłoki lakierniczej i delaminacja przy lewej stronie balkonu (U3)</w:t>
      </w:r>
      <w:r>
        <w:t xml:space="preserve"> </w:t>
      </w:r>
      <w:r>
        <w:t xml:space="preserve">d) Płytki w łazience – nierówne fugi i miejscowe odspojenia przy brodziku (U4)</w:t>
      </w:r>
      <w:r>
        <w:t xml:space="preserve"> </w:t>
      </w:r>
      <w:r>
        <w:t xml:space="preserve">e) Gniazdka elektryczne w kuchni – luźne; konieczna korekta montażu (U5)</w:t>
      </w:r>
      <w:r>
        <w:t xml:space="preserve"> </w:t>
      </w:r>
      <w:r>
        <w:t xml:space="preserve">f) Zarysowania powłoki drzwi wejściowych (U6)</w:t>
      </w:r>
      <w:r>
        <w:t xml:space="preserve"> </w:t>
      </w:r>
      <w:r>
        <w:t xml:space="preserve">g) Inne drobne usterki kosmetyczne — 6 pozycji (U7–U██) (szczegóły w załączniku zdjęciowym).</w:t>
      </w:r>
      <w:r>
        <w:t xml:space="preserve"> </w:t>
      </w:r>
      <w:r>
        <w:t xml:space="preserve">3. Postanowienia:</w:t>
      </w:r>
      <w:r>
        <w:t xml:space="preserve"> </w:t>
      </w:r>
      <w:r>
        <w:t xml:space="preserve">- M. K. przyjmuje lokal z zastrzeżeniem usunięcia wskazanych wad w terminie 30 dni od daty odbioru.</w:t>
      </w:r>
      <w:r>
        <w:t xml:space="preserve"> </w:t>
      </w:r>
      <w:r>
        <w:t xml:space="preserve">- DEWBUD S.A. zobowiązuje się do wykonania prac naprawczych we własnym zakresie lub przez uprawniony serwis. Po wykonaniu napraw sporządzony zostanie protokół powykonawczy.</w:t>
      </w:r>
      <w:r>
        <w:t xml:space="preserve"> </w:t>
      </w:r>
      <w:r>
        <w:t xml:space="preserve">Podpisy:</w:t>
      </w:r>
      <w:r>
        <w:t xml:space="preserve"> </w:t>
      </w:r>
      <w:r>
        <w:t xml:space="preserve">- …………………………………..</w:t>
      </w:r>
      <w:r>
        <w:t xml:space="preserve"> </w:t>
      </w:r>
      <w:r>
        <w:t xml:space="preserve">T. N., DEWBUD S.A.</w:t>
      </w:r>
      <w:r>
        <w:t xml:space="preserve"> </w:t>
      </w:r>
      <w:r>
        <w:t xml:space="preserve">- …………………………………..</w:t>
      </w:r>
      <w:r>
        <w:t xml:space="preserve"> </w:t>
      </w:r>
      <w:r>
        <w:t xml:space="preserve">M. K.</w:t>
      </w:r>
    </w:p>
    <w:p>
      <w:pPr>
        <w:pStyle w:val="BodyText"/>
      </w:pPr>
      <w:r>
        <w:t xml:space="preserve">Załączniki: zdjęcia (12 plików) — przechowywane u Nabywcy i w aktach DEWBUD S.A..</w:t>
      </w:r>
    </w:p>
    <w:bookmarkEnd w:id="12"/>
    <w:bookmarkStart w:id="13" w:name="X12477abf649fdcfe4cab9b89e1192bc63bbfd15"/>
    <w:p>
      <w:pPr>
        <w:pStyle w:val="Heading3"/>
      </w:pPr>
      <w:r>
        <w:t xml:space="preserve">Załącznik nr 2 – Pismo Nabywcy do DEWBUD S.A.a z żądaniem usunięcia wad i zwrotu kosztów — MK/████/██/██</w:t>
      </w:r>
    </w:p>
    <w:p>
      <w:pPr>
        <w:pStyle w:val="FirstParagraph"/>
      </w:pPr>
      <w:r>
        <w:t xml:space="preserve">Warszawa, 10 marca 2025 r.</w:t>
      </w:r>
      <w:r>
        <w:t xml:space="preserve"> </w:t>
      </w:r>
      <w:r>
        <w:t xml:space="preserve">Do: DEWBUD S.A., Warszawa</w:t>
      </w:r>
      <w:r>
        <w:t xml:space="preserve"> </w:t>
      </w:r>
      <w:r>
        <w:t xml:space="preserve">Dotyczy: lokal nr 12, bud. B, ul. Polna 5 — żądanie usunięcia wad, obniżenia ceny i zwrot kosztów napraw.</w:t>
      </w:r>
    </w:p>
    <w:p>
      <w:pPr>
        <w:pStyle w:val="BodyText"/>
      </w:pPr>
      <w:r>
        <w:t xml:space="preserve">Na podstawie protokołu odbioru nr PR/██/██.██.████ oraz zgłoszeń serwisowych (ZG-████-████ z dnia 15.01.2025 r.) żądam niezwłocznego i trwałego usunięcia wad wymienionych w protokole oraz:</w:t>
      </w:r>
      <w:r>
        <w:t xml:space="preserve"> </w:t>
      </w:r>
      <w:r>
        <w:t xml:space="preserve">1) usunięcia usterki instalacji grzewczej powodującej powtarzające się przecieki (U1) w terminie 14 dni od daty doręczenia niniejszego pisma;</w:t>
      </w:r>
      <w:r>
        <w:t xml:space="preserve"> </w:t>
      </w:r>
      <w:r>
        <w:t xml:space="preserve">2) obniżenia ceny zakupu lokalu o kwotę odpowiadającą 15% ceny sprzedaży z tytułu ograniczenia możliwości normalnego użytkowania lokalu od dnia 18.10.2024 r.; 15% od 420 000,00 zł = 63 000,00 zł;</w:t>
      </w:r>
      <w:r>
        <w:t xml:space="preserve"> </w:t>
      </w:r>
      <w:r>
        <w:t xml:space="preserve">3) zwrotu kosztów napraw wykonanych przeze mnie bezpośrednio ze względu na pilną potrzebę (faktura F/████/██/██/███, 3 500,00 zł netto) – koszty dotyczące robót hydraulicznych i wymiany uszczelnień;</w:t>
      </w:r>
      <w:r>
        <w:t xml:space="preserve"> </w:t>
      </w:r>
      <w:r>
        <w:t xml:space="preserve">4) sporządzenia pisemnego protokołu powykonawczego po naprawie;</w:t>
      </w:r>
      <w:r>
        <w:t xml:space="preserve"> </w:t>
      </w:r>
      <w:r>
        <w:t xml:space="preserve">5) zabezpieczenia moich roszczeń w postaci dobrowolnego złożenia oświadczenia o zabezpieczeniu na rachunku powierniczym lub innego równoważnego zabezpieczenia.</w:t>
      </w:r>
    </w:p>
    <w:p>
      <w:pPr>
        <w:pStyle w:val="BodyText"/>
      </w:pPr>
      <w:r>
        <w:t xml:space="preserve">Informuję, że w razie braku usunięcia wad w terminie 14 dni od daty doręczenia pisma podejmę dalsze kroki prawne i dowodowe, łącznie z wystąpieniem na drogę sądową o zasądzenie żądanych kwot oraz zabezpieczenie roszczeń. Kopia niniejszego pisma zostanie złożona w kancelarii radcy prawnego.</w:t>
      </w:r>
    </w:p>
    <w:p>
      <w:pPr>
        <w:pStyle w:val="BodyText"/>
      </w:pPr>
      <w:r>
        <w:t xml:space="preserve">Podpis:</w:t>
      </w:r>
      <w:r>
        <w:t xml:space="preserve"> </w:t>
      </w:r>
      <w:r>
        <w:t xml:space="preserve">- …………………………………..</w:t>
      </w:r>
      <w:r>
        <w:t xml:space="preserve"> </w:t>
      </w:r>
      <w:r>
        <w:t xml:space="preserve">M. K.</w:t>
      </w:r>
      <w:r>
        <w:t xml:space="preserve"> </w:t>
      </w:r>
      <w:r>
        <w:t xml:space="preserve">Załączniki: kopia faktury F/████/██/██/███; zdjęcia z marca 2025 r.; kopia protokołu PR/██/██.██.████.</w:t>
      </w:r>
    </w:p>
    <w:bookmarkEnd w:id="13"/>
    <w:bookmarkEnd w:id="14"/>
    <w:bookmarkStart w:id="15" w:name="X5f55c529dcb1d793b97fef34425a948b67240c7"/>
    <w:p>
      <w:pPr>
        <w:pStyle w:val="Heading2"/>
      </w:pPr>
      <w:r>
        <w:t xml:space="preserve">III. Wytyczne i zadania do analizy prawnej dla prawnika</w:t>
      </w:r>
    </w:p>
    <w:p>
      <w:pPr>
        <w:pStyle w:val="FirstParagraph"/>
      </w:pPr>
      <w:r>
        <w:t xml:space="preserve">Proszę o przygotowanie analizy prawnej i strategii procesowej obejmującej następujące zagadnienia (z wskazaniem podstawy prawnej — kodeks cywilny, ustawa o ochronie praw nabywcy lokalu lub domu jednorodzinnego, inne stosowne przepisy):</w:t>
      </w:r>
    </w:p>
    <w:p>
      <w:pPr>
        <w:pStyle w:val="Compact"/>
        <w:numPr>
          <w:ilvl w:val="0"/>
          <w:numId w:val="1001"/>
        </w:numPr>
      </w:pPr>
      <w:r>
        <w:t xml:space="preserve">Ocena skuteczności i ważności postanowień umownych zawartych w umowie deweloperskiej:</w:t>
      </w:r>
    </w:p>
    <w:p>
      <w:pPr>
        <w:pStyle w:val="Compact"/>
        <w:numPr>
          <w:ilvl w:val="1"/>
          <w:numId w:val="1002"/>
        </w:numPr>
      </w:pPr>
      <w:r>
        <w:t xml:space="preserve">Analiza zapisu §12 ust.4 (zakaz wykonywania napraw bez zgody dewelopera i skutkujący utratą prawa do zwrotu kosztów) z punktu widzenia przepisów art. 556–576 k.c. oraz ochrony konsumenta. Czy postanowienie to może zostać uznane za klauzulę niedozwoloną (art. 3851–3853 k.c.) lub sprzeczne z ustawą o ochronie praw nabywcy lokalu?</w:t>
      </w:r>
    </w:p>
    <w:p>
      <w:pPr>
        <w:pStyle w:val="Compact"/>
        <w:numPr>
          <w:ilvl w:val="1"/>
          <w:numId w:val="1002"/>
        </w:numPr>
      </w:pPr>
      <w:r>
        <w:t xml:space="preserve">Ocena postanowienia §15 ust.1 umowy skracającego terminy przedawnienia roszczeń — czy jest skuteczne wobec roszczeń z tytułu rękojmi za wady fizyczne lokalu i gwarancji (art. 568, art. 561 k.c.)?</w:t>
      </w:r>
    </w:p>
    <w:p>
      <w:pPr>
        <w:pStyle w:val="Compact"/>
        <w:numPr>
          <w:ilvl w:val="0"/>
          <w:numId w:val="1001"/>
        </w:numPr>
      </w:pPr>
      <w:r>
        <w:t xml:space="preserve">Zakres i terminowość roszczeń z tytułu rękojmi i gwarancji:</w:t>
      </w:r>
    </w:p>
    <w:p>
      <w:pPr>
        <w:pStyle w:val="Compact"/>
        <w:numPr>
          <w:ilvl w:val="1"/>
          <w:numId w:val="1003"/>
        </w:numPr>
      </w:pPr>
      <w:r>
        <w:t xml:space="preserve">Które roszczenia klienta mieszczą się w ramach rękojmi (art. 556 i następne k.c.) a które w ramach gwarancji udzielonej przez dewelopera (§12 ust.1 umowy)? Jaka jest datacja początku biegu terminów (data odbioru 18.10.2024 r. vs. daty zgłoszeń)? Jakie terminy przedawnienia mają zastosowanie (czy 2 lata, 5 lat lub inny okres) oraz czy upływ terminów jest już zagrożony?</w:t>
      </w:r>
    </w:p>
    <w:p>
      <w:pPr>
        <w:pStyle w:val="Compact"/>
        <w:numPr>
          <w:ilvl w:val="1"/>
          <w:numId w:val="1003"/>
        </w:numPr>
      </w:pPr>
      <w:r>
        <w:t xml:space="preserve">Skutki braku usunięcia wad w terminie przez dewelopera: uprawnienia nabywcy (obniżenie ceny art. 560 k.c., naprawa przez sprzedawcę art. 556, odstąpienie od umowy art. 560 §1 pkt 2) — wymaga się wyliczenia konsekwencji i warunków ich zastosowania.</w:t>
      </w:r>
    </w:p>
    <w:p>
      <w:pPr>
        <w:pStyle w:val="Compact"/>
        <w:numPr>
          <w:ilvl w:val="0"/>
          <w:numId w:val="1001"/>
        </w:numPr>
      </w:pPr>
      <w:r>
        <w:t xml:space="preserve">Ocena zasadności żądania zwrotu kosztów napraw wykonanych przez nabywcę (3 500,00 zł):</w:t>
      </w:r>
    </w:p>
    <w:p>
      <w:pPr>
        <w:pStyle w:val="Compact"/>
        <w:numPr>
          <w:ilvl w:val="1"/>
          <w:numId w:val="1004"/>
        </w:numPr>
      </w:pPr>
      <w:r>
        <w:t xml:space="preserve">Czy zlecenie naprawy przez niezależnego fachowca bez zgody dewelopera pozbawia M. K. prawa do zwrotu kosztów? Analiza dopuszczalnych sytuacji, gdy interwencja była konieczna (ratunek rzeczy lub zapobieżenie szkodzie) – art. 124 k.c. (działanie w stanie konieczności) lub zasady współżycia społecznego; jakie dokumenty dowodowe trzeba zgromadzić (faktury, zdjęcia, świadkowie, raporty serwisu).</w:t>
      </w:r>
    </w:p>
    <w:p>
      <w:pPr>
        <w:pStyle w:val="Compact"/>
        <w:numPr>
          <w:ilvl w:val="1"/>
          <w:numId w:val="1004"/>
        </w:numPr>
      </w:pPr>
      <w:r>
        <w:t xml:space="preserve">Wyliczenie roszczenia pieniężnego o wartości 3 500,00 zł netto (plus VAT jeśli dotyczy) i ewentualne odsetki od dnia poniesienia wydatku.</w:t>
      </w:r>
    </w:p>
    <w:p>
      <w:pPr>
        <w:pStyle w:val="Compact"/>
        <w:numPr>
          <w:ilvl w:val="0"/>
          <w:numId w:val="1001"/>
        </w:numPr>
      </w:pPr>
      <w:r>
        <w:t xml:space="preserve">Kwestie dowodowe i dowodzenie w procesie:</w:t>
      </w:r>
    </w:p>
    <w:p>
      <w:pPr>
        <w:pStyle w:val="Compact"/>
        <w:numPr>
          <w:ilvl w:val="1"/>
          <w:numId w:val="1005"/>
        </w:numPr>
      </w:pPr>
      <w:r>
        <w:t xml:space="preserve">Jakie dowody są konieczne i priorytetowe: protokół odbioru P-12, zgłoszenia serwisowe (ZG-████-████), raporty serwisowe DEWBUD S.A. (RS-██/████), faktura F/████/██/██/███, zdjęcia i korespondencja, opinia rzeczoznawcy budowlanego; jakie wnioski dowodowe i zabezpieczające warto wnieść i kiedy?</w:t>
      </w:r>
    </w:p>
    <w:p>
      <w:pPr>
        <w:pStyle w:val="Compact"/>
        <w:numPr>
          <w:ilvl w:val="1"/>
          <w:numId w:val="1005"/>
        </w:numPr>
      </w:pPr>
      <w:r>
        <w:t xml:space="preserve">Ryzyko tzw. „wyczyszczenia” śladów wad przez dewelopera przed ekspertyzą — zalecenia dowodowe (wniosek o zabezpieczenie dowodów, wezwanie do sporządzenia protokołu powykonawczego, żądanie wyznaczenia biegłego przez sąd).</w:t>
      </w:r>
    </w:p>
    <w:p>
      <w:pPr>
        <w:pStyle w:val="Compact"/>
        <w:numPr>
          <w:ilvl w:val="0"/>
          <w:numId w:val="1001"/>
        </w:numPr>
      </w:pPr>
      <w:r>
        <w:t xml:space="preserve">Wyliczenie i uargumentowanie roszczeń pieniężnych oraz żądań dodatkowych:</w:t>
      </w:r>
    </w:p>
    <w:p>
      <w:pPr>
        <w:pStyle w:val="Compact"/>
        <w:numPr>
          <w:ilvl w:val="1"/>
          <w:numId w:val="1006"/>
        </w:numPr>
      </w:pPr>
      <w:r>
        <w:t xml:space="preserve">Szczegółowe wyliczenie roszczenia o obniżenie ceny o 15% (63 000,00 zł) — czy żądanie jest proporcjonalne i dopuszczalne; ustalenie podstawy prawnej i argumentów dowodowych. Alternatywnie: roszczenie o naprawienie szkody (odszkodowanie) — porównanie korzyści i ryzyka.</w:t>
      </w:r>
    </w:p>
    <w:p>
      <w:pPr>
        <w:pStyle w:val="Compact"/>
        <w:numPr>
          <w:ilvl w:val="1"/>
          <w:numId w:val="1006"/>
        </w:numPr>
      </w:pPr>
      <w:r>
        <w:t xml:space="preserve">Ewentualne odsetki ustawowe lub umowne od daty wymagalności oraz koszty procesu i koszt ekspertyzy (przewidywany koszt 4 800,00 zł) — czy można je dochodzić i w jaki sposób udokumentować.</w:t>
      </w:r>
    </w:p>
    <w:p>
      <w:pPr>
        <w:pStyle w:val="Compact"/>
        <w:numPr>
          <w:ilvl w:val="0"/>
          <w:numId w:val="1001"/>
        </w:numPr>
      </w:pPr>
      <w:r>
        <w:t xml:space="preserve">Ryzyka procesowe i strategia (prewencja, środki zabezpieczające):</w:t>
      </w:r>
    </w:p>
    <w:p>
      <w:pPr>
        <w:pStyle w:val="Compact"/>
        <w:numPr>
          <w:ilvl w:val="1"/>
          <w:numId w:val="1007"/>
        </w:numPr>
      </w:pPr>
      <w:r>
        <w:t xml:space="preserve">Ocena ryzyka zastosowania przez dewelopera klauzuli arbitrażowej/mediacyjnej (jeśli istnieje) lub innych ograniczeń umownych proceduralnych.</w:t>
      </w:r>
    </w:p>
    <w:p>
      <w:pPr>
        <w:pStyle w:val="Compact"/>
        <w:numPr>
          <w:ilvl w:val="1"/>
          <w:numId w:val="1007"/>
        </w:numPr>
      </w:pPr>
      <w:r>
        <w:t xml:space="preserve">Propozycja środków zabezpieczających przed wniesieniem pozwu (wniosek o zabezpieczenie roszczeń — art. 730 k.p.c. lub art. 730[1] k.p.c. — wskazać właściwy środek), uzyskania protokołu powykonawczego, złożenia wniosku o wyłączenie roszczeń z rachunku powierniczego/deklaracji zabezpieczenia.</w:t>
      </w:r>
    </w:p>
    <w:p>
      <w:pPr>
        <w:pStyle w:val="Compact"/>
        <w:numPr>
          <w:ilvl w:val="1"/>
          <w:numId w:val="1007"/>
        </w:numPr>
      </w:pPr>
      <w:r>
        <w:t xml:space="preserve">Ocena kosztów i prawdopodobieństwa powodzenia poszczególnych dróg: ugoda, wezwanie przedsądowe, pozew do sądu rejonowego właściwego dla miejsca wykonania (siedziby dewelopera vs. miejsce położenia nieruchomości).</w:t>
      </w:r>
    </w:p>
    <w:p>
      <w:pPr>
        <w:pStyle w:val="FirstParagraph"/>
      </w:pPr>
      <w:r>
        <w:t xml:space="preserve">Przywołane przepisy (przynajmniej): art. 556–576 k.c., art. 561 k.c., art. 568 k.c., art. 3851–3853 k.c. (klauzule niedozwolone), przepisy ustawy o ochronie praw nabywcy lokalu mieszkalnego lub domu jednorodzinnego (dotyczące obowiązków dewelopera, rachunku powierniczego i przekazania lokalu) — wskazać konkretne artykuły tej ustawy, które mają zastosowanie.</w:t>
      </w:r>
    </w:p>
    <w:p>
      <w:pPr>
        <w:pStyle w:val="BodyText"/>
      </w:pPr>
      <w:r>
        <w:t xml:space="preserve">(Uwaga: analizie ma nie towarzyszyć gotowe rozstrzygnięcie procesowe — kancelaria ma opracować warianty strategii i listę dowodów do zgromadzenia).</w:t>
      </w:r>
    </w:p>
    <w:bookmarkEnd w:id="15"/>
    <w:bookmarkStart w:id="16" w:name="X99ad22c303571be48bb8b45f682f47b2448a1a3"/>
    <w:p>
      <w:pPr>
        <w:pStyle w:val="Heading2"/>
      </w:pPr>
      <w:r>
        <w:t xml:space="preserve">IV. Wymagane dokumenty i pisma do przygotowania</w:t>
      </w:r>
    </w:p>
    <w:p>
      <w:pPr>
        <w:pStyle w:val="FirstParagraph"/>
      </w:pPr>
      <w:r>
        <w:t xml:space="preserve">Proszę o przygotowanie następujących dokumentów procesowych i doradczych (w wersji roboczej i finalnej):</w:t>
      </w:r>
    </w:p>
    <w:p>
      <w:pPr>
        <w:pStyle w:val="Compact"/>
        <w:numPr>
          <w:ilvl w:val="0"/>
          <w:numId w:val="1008"/>
        </w:numPr>
      </w:pPr>
      <w:r>
        <w:t xml:space="preserve">Opinia prawna dla Klienta (maks. 6 stron) zawierająca: ocenę skuteczności postanowień umownych, analizę roszczeń z rękojmi/gwarancji, ocenę możliwości odzyskania kosztów napraw (3 500,00 zł), wyliczenie roszczeń (w tym alternatywne opcje: obniżenie ceny 63 000,00 zł vs. odszkodowanie) oraz propozycję strategii procesowej i ryzyk.</w:t>
      </w:r>
    </w:p>
    <w:p>
      <w:pPr>
        <w:pStyle w:val="Compact"/>
        <w:numPr>
          <w:ilvl w:val="0"/>
          <w:numId w:val="1008"/>
        </w:numPr>
      </w:pPr>
      <w:r>
        <w:t xml:space="preserve">Wezwanie przedsądowe (ostateczne, formalne) do DEWBUD S.A. z żądaniem usunięcia wad, zwrotu kosztów 3 500,00 zł, obniżenia ceny 63 000,00 zł oraz zabezpieczenia roszczeń — termin wykonania 14 dni; z sformułowaniem groźby skierowania pozwu i wniosku o zabezpieczenie.</w:t>
      </w:r>
    </w:p>
    <w:p>
      <w:pPr>
        <w:pStyle w:val="Compact"/>
        <w:numPr>
          <w:ilvl w:val="0"/>
          <w:numId w:val="1008"/>
        </w:numPr>
      </w:pPr>
      <w:r>
        <w:t xml:space="preserve">Wniosek o zabezpieczenie roszczeń (do złożenia wraz z pozwem lub równolegle), np. wniosek o ustanowienie zabezpieczenia pieniężnego na rachunku powierniczym/deklaracji zabezpieczenia lub o zabezpieczenie dowodów (art. 730 i nast. k.p.c.) oraz wniosek o zabezpieczenie roszczeń powoda (w tym zajęcie środków) — z uzasadnieniem i wskazaniem dowodów.</w:t>
      </w:r>
    </w:p>
    <w:p>
      <w:pPr>
        <w:pStyle w:val="Compact"/>
        <w:numPr>
          <w:ilvl w:val="0"/>
          <w:numId w:val="1008"/>
        </w:numPr>
      </w:pPr>
      <w:r>
        <w:t xml:space="preserve">Pozew do sądu rejonowego w Warszawie (właściwy wydział) o zasądzenie: a) kosztów napraw (3 500,00 zł netto + odsetki), b) obniżenia ceny o 63 000,00 zł alternatywnie odszkodowania (w zależności od wyboru strategii), c) kosztów procesu i kosztów opinii rzeczoznawcy (4 800,00 zł) — wraz z kompletem dowodów i wnioskiem o powołanie biegłego.</w:t>
      </w:r>
    </w:p>
    <w:p>
      <w:pPr>
        <w:pStyle w:val="FirstParagraph"/>
      </w:pPr>
      <w:r>
        <w:t xml:space="preserve">Wskazówki końcowe: przy przygotowaniu pism uwzględnić możliwe argumenty dewelopera (nieważność roszczeń z powodu rzekomego wykonania napraw przez osobę trzecią, wskazanie terminów umownych) oraz przygotować plan dowodowy minimalizujący te ryzyka (ekspertyza rzeczoznawcy, dokumentacja fotograficzna, świadkowie, zgłoszenia serwisowe).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Koniec kazusu.</w:t>
      </w:r>
    </w:p>
    <w:p>
      <w:r>
        <w:pict>
          <v:rect style="width:0;height:1.5pt" o:hralign="center" o:hrstd="t" o:hr="t"/>
        </w:pic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2026-10-05T19:14:17Z</dcterms:created>
  <dcterms:modified xsi:type="dcterms:W3CDTF">2026-10-05T19:14:17Z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