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sprawa-51-rozwiązanie-casebox"/>
    <w:p>
      <w:pPr>
        <w:pStyle w:val="Heading1"/>
      </w:pPr>
      <w:r>
        <w:t xml:space="preserve">Sprawa 51 — rozwiązanie CaseBox</w:t>
      </w:r>
    </w:p>
    <w:bookmarkStart w:id="9" w:name="część-ii.-rozwiązanie-case-project-api"/>
    <w:p>
      <w:pPr>
        <w:pStyle w:val="Heading2"/>
      </w:pPr>
      <w:r>
        <w:t xml:space="preserve">CZĘŚĆ II. ROZWIĄZANIE (Case Project API)</w:t>
      </w:r>
    </w:p>
    <w:bookmarkEnd w:id="9"/>
    <w:bookmarkStart w:id="10" w:name="podsumowanie-sprawy"/>
    <w:p>
      <w:pPr>
        <w:pStyle w:val="Heading2"/>
      </w:pPr>
      <w:r>
        <w:t xml:space="preserve">Podsumowanie sprawy</w:t>
      </w:r>
    </w:p>
    <w:p>
      <w:pPr>
        <w:pStyle w:val="FirstParagraph"/>
      </w:pPr>
      <w:r>
        <w:t xml:space="preserve">Niniejsza sprawa dotyczy sporu pomiędzy Panem M. N. (Klientem), właścicielem działki nr ew. ██, a Panią A. K. (Najemczynią), najemcą garażu i części ogrodowej na tej działce. Podłożem konfliktu jest samowolne posadowienie przez Najemczynię ogrodzenia panelowego w dniu 10 kwietnia 2024 r., które narusza granice wynajętej powierzchni określone w umowie najmu nr ████ z dnia 1 września 2020 r. oraz zajmuje 7,9 m² powierzchni należącej do Klienta [Źródło 1]. Klient dąży do sądowego ustalenia przebiegu granicy, nakazania Najemczyni usunięcia ogrodzenia, przywrócenia stanu poprzedniego oraz zasądzenia kosztów demontażu (1 200,00 zł), kosztów mapy geodezyjnej (3 600,00 zł) oraz odszkodowania za bezumowne korzystanie z zajętej powierzchni [Źródło 1, Źródło 2]. Najemczyni odmówiła usunięcia ogrodzenia, powołując się na dobrą wiarę, ustne porozumienie z poprzednim najemcą, poniesione nakłady oraz rzekomą nieprecyzyjność planu z umowy, zapowiadając jednocześnie roszczenia o zwrot nakładów i zasiedzenie części działki [Źródło 1]. Klient oczekuje kompleksowej analizy prawnej i przygotowania pism procesowych.</w:t>
      </w:r>
    </w:p>
    <w:bookmarkEnd w:id="10"/>
    <w:bookmarkStart w:id="11" w:name="kluczowe-dane"/>
    <w:p>
      <w:pPr>
        <w:pStyle w:val="Heading2"/>
      </w:pPr>
      <w:r>
        <w:t xml:space="preserve">Kluczowe dane</w:t>
      </w:r>
    </w:p>
    <w:p>
      <w:pPr>
        <w:pStyle w:val="Compact"/>
        <w:numPr>
          <w:ilvl w:val="0"/>
          <w:numId w:val="1001"/>
        </w:numPr>
      </w:pPr>
      <w:r>
        <w:rPr>
          <w:b/>
          <w:bCs/>
        </w:rPr>
        <w:t xml:space="preserve">Klient:</w:t>
      </w:r>
      <w:r>
        <w:t xml:space="preserve"> </w:t>
      </w:r>
      <w:r>
        <w:t xml:space="preserve">Pan M. N. (Wynajmujący), właściciel działki nr ew. ██, KW ██/████████/█ [Źródło 1].</w:t>
      </w:r>
    </w:p>
    <w:p>
      <w:pPr>
        <w:pStyle w:val="Compact"/>
        <w:numPr>
          <w:ilvl w:val="0"/>
          <w:numId w:val="1001"/>
        </w:numPr>
      </w:pPr>
      <w:r>
        <w:rPr>
          <w:b/>
          <w:bCs/>
        </w:rPr>
        <w:t xml:space="preserve">Strona przeciwna:</w:t>
      </w:r>
      <w:r>
        <w:t xml:space="preserve"> </w:t>
      </w:r>
      <w:r>
        <w:t xml:space="preserve">Pani A. K. (Najemczyni), najemca garażu i części ogrodowej na działce nr ew. ██ [Źródło 1].</w:t>
      </w:r>
    </w:p>
    <w:p>
      <w:pPr>
        <w:pStyle w:val="Compact"/>
        <w:numPr>
          <w:ilvl w:val="0"/>
          <w:numId w:val="1001"/>
        </w:numPr>
      </w:pPr>
      <w:r>
        <w:rPr>
          <w:b/>
          <w:bCs/>
        </w:rPr>
        <w:t xml:space="preserve">Umowa najmu:</w:t>
      </w:r>
      <w:r>
        <w:t xml:space="preserve"> </w:t>
      </w:r>
      <w:r>
        <w:t xml:space="preserve">nr ████, zawarta 01.09.2020 [Źródło 1].</w:t>
      </w:r>
    </w:p>
    <w:p>
      <w:pPr>
        <w:pStyle w:val="Compact"/>
        <w:numPr>
          <w:ilvl w:val="0"/>
          <w:numId w:val="1001"/>
        </w:numPr>
      </w:pPr>
      <w:r>
        <w:rPr>
          <w:b/>
          <w:bCs/>
        </w:rPr>
        <w:t xml:space="preserve">Przedmiot najmu:</w:t>
      </w:r>
      <w:r>
        <w:t xml:space="preserve"> </w:t>
      </w:r>
      <w:r>
        <w:t xml:space="preserve">garaż i wydzielona część ogrodowa o pow. 45 m² [Źródło 1].</w:t>
      </w:r>
    </w:p>
    <w:p>
      <w:pPr>
        <w:pStyle w:val="Compact"/>
        <w:numPr>
          <w:ilvl w:val="0"/>
          <w:numId w:val="1001"/>
        </w:numPr>
      </w:pPr>
      <w:r>
        <w:rPr>
          <w:b/>
          <w:bCs/>
        </w:rPr>
        <w:t xml:space="preserve">Wiążący dokument:</w:t>
      </w:r>
      <w:r>
        <w:t xml:space="preserve"> </w:t>
      </w:r>
      <w:r>
        <w:t xml:space="preserve">Załącznik nr 1 do umowy – plan sytuacyjny określający granice najmowanej części [Źródło 1].</w:t>
      </w:r>
    </w:p>
    <w:p>
      <w:pPr>
        <w:pStyle w:val="Compact"/>
        <w:numPr>
          <w:ilvl w:val="0"/>
          <w:numId w:val="1001"/>
        </w:numPr>
      </w:pPr>
      <w:r>
        <w:rPr>
          <w:b/>
          <w:bCs/>
        </w:rPr>
        <w:t xml:space="preserve">Data postawienia ogrodzenia:</w:t>
      </w:r>
      <w:r>
        <w:t xml:space="preserve"> </w:t>
      </w:r>
      <w:r>
        <w:t xml:space="preserve">10.04.2024 [Źródło 1].</w:t>
      </w:r>
    </w:p>
    <w:p>
      <w:pPr>
        <w:pStyle w:val="Compact"/>
        <w:numPr>
          <w:ilvl w:val="0"/>
          <w:numId w:val="1001"/>
        </w:numPr>
      </w:pPr>
      <w:r>
        <w:rPr>
          <w:b/>
          <w:bCs/>
        </w:rPr>
        <w:t xml:space="preserve">Koszt poniesiony przez Najemczynię na ogrodzenie:</w:t>
      </w:r>
      <w:r>
        <w:t xml:space="preserve"> </w:t>
      </w:r>
      <w:r>
        <w:t xml:space="preserve">5 760,00 zł brutto [Źródło 1].</w:t>
      </w:r>
    </w:p>
    <w:p>
      <w:pPr>
        <w:pStyle w:val="Compact"/>
        <w:numPr>
          <w:ilvl w:val="0"/>
          <w:numId w:val="1001"/>
        </w:numPr>
      </w:pPr>
      <w:r>
        <w:rPr>
          <w:b/>
          <w:bCs/>
        </w:rPr>
        <w:t xml:space="preserve">Data protokołu pomiarowego i mapy geodezyjnej:</w:t>
      </w:r>
      <w:r>
        <w:t xml:space="preserve"> </w:t>
      </w:r>
      <w:r>
        <w:t xml:space="preserve">02.10.2024 (sporządzone na zlecenie Klienta przez G. Sp. z o.o.) [Źródło 1].</w:t>
      </w:r>
    </w:p>
    <w:p>
      <w:pPr>
        <w:pStyle w:val="Compact"/>
        <w:numPr>
          <w:ilvl w:val="0"/>
          <w:numId w:val="1001"/>
        </w:numPr>
      </w:pPr>
      <w:r>
        <w:rPr>
          <w:b/>
          <w:bCs/>
        </w:rPr>
        <w:t xml:space="preserve">Zajęta powierzchnia:</w:t>
      </w:r>
      <w:r>
        <w:t xml:space="preserve"> </w:t>
      </w:r>
      <w:r>
        <w:t xml:space="preserve">7,9 m² działki nr ██, niezgodnie z planem najmu i rzeczywistymi granicami [Źródło 1].</w:t>
      </w:r>
    </w:p>
    <w:p>
      <w:pPr>
        <w:pStyle w:val="Compact"/>
        <w:numPr>
          <w:ilvl w:val="0"/>
          <w:numId w:val="1001"/>
        </w:numPr>
      </w:pPr>
      <w:r>
        <w:rPr>
          <w:b/>
          <w:bCs/>
        </w:rPr>
        <w:t xml:space="preserve">Data wezwania Klienta do usunięcia ogrodzenia:</w:t>
      </w:r>
      <w:r>
        <w:t xml:space="preserve"> </w:t>
      </w:r>
      <w:r>
        <w:t xml:space="preserve">15.10.2024 [Źródło 1].</w:t>
      </w:r>
    </w:p>
    <w:p>
      <w:pPr>
        <w:pStyle w:val="Compact"/>
        <w:numPr>
          <w:ilvl w:val="0"/>
          <w:numId w:val="1001"/>
        </w:numPr>
      </w:pPr>
      <w:r>
        <w:rPr>
          <w:b/>
          <w:bCs/>
        </w:rPr>
        <w:t xml:space="preserve">Data odmowy Najemczyni:</w:t>
      </w:r>
      <w:r>
        <w:t xml:space="preserve"> </w:t>
      </w:r>
      <w:r>
        <w:t xml:space="preserve">28.10.2024 [Źródło 1].</w:t>
      </w:r>
    </w:p>
    <w:p>
      <w:pPr>
        <w:pStyle w:val="Compact"/>
        <w:numPr>
          <w:ilvl w:val="0"/>
          <w:numId w:val="1001"/>
        </w:numPr>
      </w:pPr>
      <w:r>
        <w:rPr>
          <w:b/>
          <w:bCs/>
        </w:rPr>
        <w:t xml:space="preserve">Żądane koszty demontażu przez Klienta:</w:t>
      </w:r>
      <w:r>
        <w:t xml:space="preserve"> </w:t>
      </w:r>
      <w:r>
        <w:t xml:space="preserve">1 200,00 zł brutto [Źródło 2].</w:t>
      </w:r>
    </w:p>
    <w:p>
      <w:pPr>
        <w:pStyle w:val="Compact"/>
        <w:numPr>
          <w:ilvl w:val="0"/>
          <w:numId w:val="1001"/>
        </w:numPr>
      </w:pPr>
      <w:r>
        <w:rPr>
          <w:b/>
          <w:bCs/>
        </w:rPr>
        <w:t xml:space="preserve">Żądany koszt mapy geodezyjnej przez Klienta:</w:t>
      </w:r>
      <w:r>
        <w:t xml:space="preserve"> </w:t>
      </w:r>
      <w:r>
        <w:t xml:space="preserve">3 600,00 zł brutto (faktura GM/████/50) [Źródło 2].</w:t>
      </w:r>
    </w:p>
    <w:p>
      <w:pPr>
        <w:pStyle w:val="Compact"/>
        <w:numPr>
          <w:ilvl w:val="0"/>
          <w:numId w:val="1001"/>
        </w:numPr>
      </w:pPr>
      <w:r>
        <w:rPr>
          <w:b/>
          <w:bCs/>
        </w:rPr>
        <w:t xml:space="preserve">Proponowana stawka za bezumowne korzystanie:</w:t>
      </w:r>
      <w:r>
        <w:t xml:space="preserve"> </w:t>
      </w:r>
      <w:r>
        <w:t xml:space="preserve">0,80 zł/m²/dzień za zajęte 7,9 m² od 10.04.2024 [Źródło 2].</w:t>
      </w:r>
    </w:p>
    <w:bookmarkEnd w:id="11"/>
    <w:bookmarkStart w:id="15" w:name="opinia-prawna-analiza-wstępna"/>
    <w:p>
      <w:pPr>
        <w:pStyle w:val="Heading2"/>
      </w:pPr>
      <w:r>
        <w:t xml:space="preserve">Opinia prawna (analiza wstępna)</w:t>
      </w:r>
    </w:p>
    <w:bookmarkStart w:id="12" w:name="kwalifikacja-prawna-stanu-faktycznego"/>
    <w:p>
      <w:pPr>
        <w:pStyle w:val="Heading3"/>
      </w:pPr>
      <w:r>
        <w:t xml:space="preserve">Kwalifikacja prawna stanu faktycznego</w:t>
      </w:r>
    </w:p>
    <w:p>
      <w:pPr>
        <w:pStyle w:val="FirstParagraph"/>
      </w:pPr>
      <w:r>
        <w:t xml:space="preserve">Stan faktyczny sprawy kwalifikuje się jako naruszenie umowy najmu oraz bezprawne wkroczenie w prawo własności. Klient, Pan M. N., zawarł z Panią A. K. umowę najmu, która precyzyjnie określała granice wynajmowanej części nieruchomości za pomocą wiążącego planu sytuacyjnego (Załącznik nr 1 do umowy) [Źródło 1]. Najemczyni, stawiając ogrodzenie panelowe bez pisemnej zgody Wynajmującego, naruszyła postanowienia umowy najmu, a ponadto zajęła część nieruchomości (7,9 m²), która nie była objęta umową najmu i stanowiła własność Klienta [Źródło 1].</w:t>
      </w:r>
    </w:p>
    <w:p>
      <w:pPr>
        <w:pStyle w:val="BodyText"/>
      </w:pPr>
      <w:r>
        <w:t xml:space="preserve">Czyn Najemczyni stanowi:</w:t>
      </w:r>
      <w:r>
        <w:t xml:space="preserve"> </w:t>
      </w:r>
      <w:r>
        <w:t xml:space="preserve">1.</w:t>
      </w:r>
      <w:r>
        <w:t xml:space="preserve"> </w:t>
      </w:r>
      <w:r>
        <w:rPr>
          <w:b/>
          <w:bCs/>
        </w:rPr>
        <w:t xml:space="preserve">Nienależyte wykonanie zobowiązania umownego</w:t>
      </w:r>
      <w:r>
        <w:t xml:space="preserve"> </w:t>
      </w:r>
      <w:r>
        <w:t xml:space="preserve">wynikającego z umowy najmu, w szczególności z § 3 ust. 1 i 2 umowy, które wymagały pisemnej zgody Wynajmującego na trwałe zabudowy i przewidywały obowiązek przywrócenia stanu poprzedniego na koszt Najemczyni w razie braku zgody [Źródło 1]. Podstawę odpowiedzialności odszkodowawczej w tym zakresie stanowi art. 471 Kodeksu cywilnego.</w:t>
      </w:r>
      <w:r>
        <w:t xml:space="preserve"> </w:t>
      </w:r>
      <w:r>
        <w:t xml:space="preserve">2.</w:t>
      </w:r>
      <w:r>
        <w:t xml:space="preserve"> </w:t>
      </w:r>
      <w:r>
        <w:rPr>
          <w:b/>
          <w:bCs/>
        </w:rPr>
        <w:t xml:space="preserve">Naruszanie prawa własności</w:t>
      </w:r>
      <w:r>
        <w:t xml:space="preserve"> </w:t>
      </w:r>
      <w:r>
        <w:t xml:space="preserve">Klienta w zakresie 7,9 m² nieruchomości nieobjętej umową najmu. Jest to działanie bezprawne, za które Najemczyni ponosi odpowiedzialność. Właściciel może żądać od osoby, która narusza jego własność w inny sposób aniżeli przez pozbawienie go faktycznego władztwa nad rzeczą, przywrócenia stanu zgodnego z prawem i zaniechania naruszeń (tzw. roszczenie negatoryjne). Dodatkowo, za bezumowne korzystanie z nieruchomości, Klientowi przysługują roszczenia odszkodowawcze.</w:t>
      </w:r>
    </w:p>
    <w:bookmarkEnd w:id="12"/>
    <w:bookmarkStart w:id="13" w:name="Xfb14db3cab2af5db11c196e441f8416d3dad3d0"/>
    <w:p>
      <w:pPr>
        <w:pStyle w:val="Heading3"/>
      </w:pPr>
      <w:r>
        <w:t xml:space="preserve">Ocena ważności/skuteczności kluczowych postanowień umowy i czynności stron</w:t>
      </w:r>
    </w:p>
    <w:p>
      <w:pPr>
        <w:pStyle w:val="Compact"/>
        <w:numPr>
          <w:ilvl w:val="0"/>
          <w:numId w:val="1002"/>
        </w:numPr>
      </w:pPr>
      <w:r>
        <w:rPr>
          <w:b/>
          <w:bCs/>
        </w:rPr>
        <w:t xml:space="preserve">Paragraf 1 ust. 2 umowy</w:t>
      </w:r>
      <w:r>
        <w:t xml:space="preserve"> </w:t>
      </w:r>
      <w:r>
        <w:t xml:space="preserve">stanowiący, że plan sytuacyjny określający granice najmowanej części jest wiążący, jest ważny i skuteczny [Źródło 1]. Zgodnie z zasadą swobody umów, strony miały prawo precyzyjnie określić przedmiot najmu i jego granice. Oznacza to, że jakiekolkolwiek odstępstwa od tego planu stanowią naruszenie postanowień umowy.</w:t>
      </w:r>
    </w:p>
    <w:p>
      <w:pPr>
        <w:pStyle w:val="Compact"/>
        <w:numPr>
          <w:ilvl w:val="0"/>
          <w:numId w:val="1002"/>
        </w:numPr>
      </w:pPr>
      <w:r>
        <w:rPr>
          <w:b/>
          <w:bCs/>
        </w:rPr>
        <w:t xml:space="preserve">Paragraf 3 ust. 1 i 2 umowy</w:t>
      </w:r>
      <w:r>
        <w:t xml:space="preserve"> </w:t>
      </w:r>
      <w:r>
        <w:t xml:space="preserve">wymagający pisemnej zgody Wynajmującego na trwałe zabudowy (w tym ogrodzenia) oraz przewidujący obowiązek przywrócenia stanu poprzedniego na koszt Najemczyni w razie braku zgody, a także wyłączający zwrot kosztów nakładów bez pisemnej akceptacji, są również ważne i skuteczne [Źródło 1]. Postanowienia te mają na celu ochronę interesów Wynajmującego i zapobieganie niekontrolowanym zmianom na nieruchomości. Wobec braku pisemnej zgody na postawienie ogrodzenia, Najemczyni nie może skutecznie domagać się zwrotu poniesionych nakładów, a Klient ma prawo żądać usunięcia ogrodzenia na koszt Najemczyni.</w:t>
      </w:r>
    </w:p>
    <w:p>
      <w:pPr>
        <w:pStyle w:val="Compact"/>
        <w:numPr>
          <w:ilvl w:val="0"/>
          <w:numId w:val="1002"/>
        </w:numPr>
      </w:pPr>
      <w:r>
        <w:rPr>
          <w:b/>
          <w:bCs/>
        </w:rPr>
        <w:t xml:space="preserve">Czynności Najemczyni:</w:t>
      </w:r>
      <w:r>
        <w:t xml:space="preserve"> </w:t>
      </w:r>
      <w:r>
        <w:t xml:space="preserve">Postawienie ogrodzenia bez pisemnej zgody i zajęcie dodatkowej powierzchni stanowi naruszenie ww. postanowień umownych i praw własności Klienta [Źródło 1].</w:t>
      </w:r>
    </w:p>
    <w:p>
      <w:pPr>
        <w:pStyle w:val="Compact"/>
        <w:numPr>
          <w:ilvl w:val="0"/>
          <w:numId w:val="1002"/>
        </w:numPr>
      </w:pPr>
      <w:r>
        <w:rPr>
          <w:b/>
          <w:bCs/>
        </w:rPr>
        <w:t xml:space="preserve">Czynności Klienta:</w:t>
      </w:r>
      <w:r>
        <w:t xml:space="preserve"> </w:t>
      </w:r>
      <w:r>
        <w:t xml:space="preserve">Wezwanie Najemczyni do usunięcia ogrodzenia i przywrócenia stanu poprzedniego było działaniem prawidłowym i zgodnym z przysługującymi mu prawami [Źródło 1].</w:t>
      </w:r>
    </w:p>
    <w:bookmarkEnd w:id="13"/>
    <w:bookmarkStart w:id="14" w:name="zastosowanie-właściwych-przepisów"/>
    <w:p>
      <w:pPr>
        <w:pStyle w:val="Heading3"/>
      </w:pPr>
      <w:r>
        <w:t xml:space="preserve">Zastosowanie właściwych przepisów</w:t>
      </w:r>
    </w:p>
    <w:p>
      <w:pPr>
        <w:pStyle w:val="FirstParagraph"/>
      </w:pPr>
      <w:r>
        <w:t xml:space="preserve">W sprawie znajdą zastosowanie przepisy Kodeksu cywilnego, w szczególności dotyczące:</w:t>
      </w:r>
      <w:r>
        <w:t xml:space="preserve"> </w:t>
      </w:r>
      <w:r>
        <w:t xml:space="preserve">*</w:t>
      </w:r>
      <w:r>
        <w:t xml:space="preserve"> </w:t>
      </w:r>
      <w:r>
        <w:rPr>
          <w:b/>
          <w:bCs/>
        </w:rPr>
        <w:t xml:space="preserve">Odpowiedzialności kontraktowej:</w:t>
      </w:r>
      <w:r>
        <w:t xml:space="preserve"> </w:t>
      </w:r>
      <w:r>
        <w:t xml:space="preserve">art. 471 Kodeksu cywilnego, z uwagi na nienależyte wykonanie umowy najmu przez Najemczynię [por. wyrok Sądu powszechnego z 25 listopada 2008 r., sygn. akt XVII Ama 31/08 (data niedostępna) dotyczący naruszenia zbiorowych interesów konsumentów poprzez stosowanie niedozwolonych postanowień umownych w zakresie odpowiedzialności kontraktowej]. W orzeczeniu z dnia 23 grudnia 2019 r., sygn. akt I C 218/19, Sąd powszechny wskazał art. 471 k.c. jako podstawę do dochodzenia odszkodowania z tytułu niewykonania lub nienależytego wykonania umowy [Źródło 1].</w:t>
      </w:r>
      <w:r>
        <w:t xml:space="preserve"> </w:t>
      </w:r>
      <w:r>
        <w:t xml:space="preserve">*</w:t>
      </w:r>
      <w:r>
        <w:t xml:space="preserve"> </w:t>
      </w:r>
      <w:r>
        <w:rPr>
          <w:b/>
          <w:bCs/>
        </w:rPr>
        <w:t xml:space="preserve">Ochrony własności:</w:t>
      </w:r>
      <w:r>
        <w:t xml:space="preserve"> </w:t>
      </w:r>
      <w:r>
        <w:t xml:space="preserve">Właścicielowi przysługuje roszczenie o przywrócenie stanu zgodnego z prawem i zaniechanie naruszeń (roszczenie negatoryjne).</w:t>
      </w:r>
      <w:r>
        <w:t xml:space="preserve"> </w:t>
      </w:r>
      <w:r>
        <w:t xml:space="preserve">*</w:t>
      </w:r>
      <w:r>
        <w:t xml:space="preserve"> </w:t>
      </w:r>
      <w:r>
        <w:rPr>
          <w:b/>
          <w:bCs/>
        </w:rPr>
        <w:t xml:space="preserve">Bezpodstawnego wzbogacenia / roszczeń uzupełniających:</w:t>
      </w:r>
      <w:r>
        <w:t xml:space="preserve"> </w:t>
      </w:r>
      <w:r>
        <w:t xml:space="preserve">W zakresie bezumownego korzystania z nieruchomości przez Najemczynię.</w:t>
      </w:r>
      <w:r>
        <w:t xml:space="preserve"> </w:t>
      </w:r>
      <w:r>
        <w:t xml:space="preserve">*</w:t>
      </w:r>
      <w:r>
        <w:t xml:space="preserve"> </w:t>
      </w:r>
      <w:r>
        <w:rPr>
          <w:b/>
          <w:bCs/>
        </w:rPr>
        <w:t xml:space="preserve">Ustalenia przebiegu granicy:</w:t>
      </w:r>
      <w:r>
        <w:t xml:space="preserve"> </w:t>
      </w:r>
      <w:r>
        <w:t xml:space="preserve">Roszczenie o ustalenie przebiegu granicy (jeżeli Najemczyni kwestionuje istniejące granice pomimo planu).</w:t>
      </w:r>
      <w:r>
        <w:t xml:space="preserve"> </w:t>
      </w:r>
      <w:r>
        <w:t xml:space="preserve">*</w:t>
      </w:r>
      <w:r>
        <w:t xml:space="preserve"> </w:t>
      </w:r>
      <w:r>
        <w:rPr>
          <w:b/>
          <w:bCs/>
        </w:rPr>
        <w:t xml:space="preserve">Kwestie dowodowe:</w:t>
      </w:r>
      <w:r>
        <w:t xml:space="preserve"> </w:t>
      </w:r>
      <w:r>
        <w:t xml:space="preserve">Art. 6 Kodeksu cywilnego (ciężar dowodu).</w:t>
      </w:r>
    </w:p>
    <w:bookmarkEnd w:id="14"/>
    <w:bookmarkEnd w:id="15"/>
    <w:bookmarkStart w:id="20" w:name="X9b8819b926616df9f20b123a0cb0f7884de71e2"/>
    <w:p>
      <w:pPr>
        <w:pStyle w:val="Heading2"/>
      </w:pPr>
      <w:r>
        <w:t xml:space="preserve">Odpowiedź na zagadnienia z części III kazusu</w:t>
      </w:r>
    </w:p>
    <w:bookmarkStart w:id="16" w:name="Xbc96b6a6bc3232a0dc0ebafb14453cec72e4123"/>
    <w:p>
      <w:pPr>
        <w:pStyle w:val="Heading3"/>
      </w:pPr>
      <w:r>
        <w:t xml:space="preserve">a) Ocena ważności klauzul i naruszenia umowy</w:t>
      </w:r>
    </w:p>
    <w:p>
      <w:pPr>
        <w:pStyle w:val="Compact"/>
        <w:numPr>
          <w:ilvl w:val="0"/>
          <w:numId w:val="1003"/>
        </w:numPr>
      </w:pPr>
      <w:r>
        <w:rPr>
          <w:b/>
          <w:bCs/>
        </w:rPr>
        <w:t xml:space="preserve">Ważność klauzul:</w:t>
      </w:r>
      <w:r>
        <w:t xml:space="preserve"> </w:t>
      </w:r>
      <w:r>
        <w:t xml:space="preserve">Paragraf 1 ust. 2 umowy najmu, określający wiążący charakter planu sytuacyjnego, oraz § 3 ust. 1 i 2 umowy, dotyczące wymogu pisemnej zgody na trwałe zabudowy i wyłączające zwrot nakładów bez takiej zgody, są</w:t>
      </w:r>
      <w:r>
        <w:t xml:space="preserve"> </w:t>
      </w:r>
      <w:r>
        <w:rPr>
          <w:b/>
          <w:bCs/>
        </w:rPr>
        <w:t xml:space="preserve">ważne i skuteczne</w:t>
      </w:r>
      <w:r>
        <w:t xml:space="preserve"> </w:t>
      </w:r>
      <w:r>
        <w:t xml:space="preserve">[Źródło 1]. Brak jest podstaw prawnych do kwestionowania ich skuteczności, ponieważ mieszczą się w granicach swobody kontraktowej.</w:t>
      </w:r>
    </w:p>
    <w:p>
      <w:pPr>
        <w:pStyle w:val="Compact"/>
        <w:numPr>
          <w:ilvl w:val="0"/>
          <w:numId w:val="1003"/>
        </w:numPr>
      </w:pPr>
      <w:r>
        <w:rPr>
          <w:b/>
          <w:bCs/>
        </w:rPr>
        <w:t xml:space="preserve">Naruszenie umowy:</w:t>
      </w:r>
      <w:r>
        <w:t xml:space="preserve"> </w:t>
      </w:r>
      <w:r>
        <w:t xml:space="preserve">Postawienie przez P. K. ogrodzenia bez pisemnej zgody Klienta i poza granicami określonymi w wiążącym planie sytuacyjnym stanowi</w:t>
      </w:r>
      <w:r>
        <w:t xml:space="preserve"> </w:t>
      </w:r>
      <w:r>
        <w:rPr>
          <w:b/>
          <w:bCs/>
        </w:rPr>
        <w:t xml:space="preserve">bezsporne naruszenie umowy najmu</w:t>
      </w:r>
      <w:r>
        <w:t xml:space="preserve"> </w:t>
      </w:r>
      <w:r>
        <w:t xml:space="preserve">[Źródło 1].</w:t>
      </w:r>
    </w:p>
    <w:bookmarkEnd w:id="16"/>
    <w:bookmarkStart w:id="17" w:name="b-ocena-zarzutów-najemczyni"/>
    <w:p>
      <w:pPr>
        <w:pStyle w:val="Heading3"/>
      </w:pPr>
      <w:r>
        <w:t xml:space="preserve">b) Ocena zarzutów Najemczyni</w:t>
      </w:r>
    </w:p>
    <w:p>
      <w:pPr>
        <w:pStyle w:val="Compact"/>
        <w:numPr>
          <w:ilvl w:val="0"/>
          <w:numId w:val="1004"/>
        </w:numPr>
      </w:pPr>
      <w:r>
        <w:rPr>
          <w:b/>
          <w:bCs/>
        </w:rPr>
        <w:t xml:space="preserve">“Dobra wiara”</w:t>
      </w:r>
      <w:r>
        <w:rPr>
          <w:b/>
          <w:bCs/>
        </w:rPr>
        <w:t xml:space="preserve"> </w:t>
      </w:r>
      <w:r>
        <w:rPr>
          <w:b/>
          <w:bCs/>
        </w:rPr>
        <w:t xml:space="preserve">i</w:t>
      </w:r>
      <w:r>
        <w:rPr>
          <w:b/>
          <w:bCs/>
        </w:rPr>
        <w:t xml:space="preserve"> </w:t>
      </w:r>
      <w:r>
        <w:rPr>
          <w:b/>
          <w:bCs/>
        </w:rPr>
        <w:t xml:space="preserve">“ustne porozumienie z poprzednim najemcą”</w:t>
      </w:r>
      <w:r>
        <w:rPr>
          <w:b/>
          <w:bCs/>
        </w:rPr>
        <w:t xml:space="preserve">:</w:t>
      </w:r>
      <w:r>
        <w:t xml:space="preserve"> </w:t>
      </w:r>
      <w:r>
        <w:t xml:space="preserve">Zarzuty te są</w:t>
      </w:r>
      <w:r>
        <w:t xml:space="preserve"> </w:t>
      </w:r>
      <w:r>
        <w:rPr>
          <w:b/>
          <w:bCs/>
        </w:rPr>
        <w:t xml:space="preserve">nieuzasadnione</w:t>
      </w:r>
      <w:r>
        <w:t xml:space="preserve">.</w:t>
      </w:r>
    </w:p>
    <w:p>
      <w:pPr>
        <w:pStyle w:val="Compact"/>
        <w:numPr>
          <w:ilvl w:val="1"/>
          <w:numId w:val="1005"/>
        </w:numPr>
      </w:pPr>
      <w:r>
        <w:t xml:space="preserve">Wiążący plan sytuacyjny w umowie najmu jasno określał granice [Źródło 1], co przeczy dobrej wierze Najemczyni w zakresie zajęcia dodatkowej powierzchni.</w:t>
      </w:r>
    </w:p>
    <w:p>
      <w:pPr>
        <w:pStyle w:val="Compact"/>
        <w:numPr>
          <w:ilvl w:val="1"/>
          <w:numId w:val="1005"/>
        </w:numPr>
      </w:pPr>
      <w:r>
        <w:t xml:space="preserve">Ustne porozumienie z poprzednim najemcą nie może być skuteczne wobec obecnego właściciela i nie może zmieniać warunków pisemnej umowy najmu. Prawo wymaga formy pisemnej dla trwałych zabudowań (zgodnie z umową, § 3 ust. 1 umowy [Źródło 1]). Nawet gdyby takie ustne porozumienie istniało, byłoby ono nieskuteczne w świetle wiążącej umowy. Moment otrzymania wezwania od Klienta (15.10.2024) [Źródło 1] definitywnie kończy wszelkie ewentualne domniemanie dobrej wiary.</w:t>
      </w:r>
    </w:p>
    <w:p>
      <w:pPr>
        <w:pStyle w:val="Compact"/>
        <w:numPr>
          <w:ilvl w:val="0"/>
          <w:numId w:val="1004"/>
        </w:numPr>
      </w:pPr>
      <w:r>
        <w:rPr>
          <w:b/>
          <w:bCs/>
        </w:rPr>
        <w:t xml:space="preserve">“Poniesione nakłady”</w:t>
      </w:r>
      <w:r>
        <w:rPr>
          <w:b/>
          <w:bCs/>
        </w:rPr>
        <w:t xml:space="preserve">:</w:t>
      </w:r>
      <w:r>
        <w:t xml:space="preserve"> </w:t>
      </w:r>
      <w:r>
        <w:t xml:space="preserve">Zarzut ten jest</w:t>
      </w:r>
      <w:r>
        <w:t xml:space="preserve"> </w:t>
      </w:r>
      <w:r>
        <w:rPr>
          <w:b/>
          <w:bCs/>
        </w:rPr>
        <w:t xml:space="preserve">bezskuteczny</w:t>
      </w:r>
      <w:r>
        <w:t xml:space="preserve"> </w:t>
      </w:r>
      <w:r>
        <w:t xml:space="preserve">wobec Klienta.</w:t>
      </w:r>
    </w:p>
    <w:p>
      <w:pPr>
        <w:pStyle w:val="Compact"/>
        <w:numPr>
          <w:ilvl w:val="1"/>
          <w:numId w:val="1006"/>
        </w:numPr>
      </w:pPr>
      <w:r>
        <w:t xml:space="preserve">Paragraf 3 ust. 2 umowy wprost wyłącza zwrot kosztów nakładów poniesionych przez Najemczynię bez pisemnej akceptacji Wynajmującego [Źródło 1]. Wobec braku takiej zgody, roszczenie Najemczyni o zwrot kosztów ogrodzenia jest bezzasadne.</w:t>
      </w:r>
    </w:p>
    <w:p>
      <w:pPr>
        <w:pStyle w:val="Compact"/>
        <w:numPr>
          <w:ilvl w:val="0"/>
          <w:numId w:val="1004"/>
        </w:numPr>
      </w:pPr>
      <w:r>
        <w:rPr>
          <w:b/>
          <w:bCs/>
        </w:rPr>
        <w:t xml:space="preserve">“Rzekoma nieprecyzyjność planu z umowy”</w:t>
      </w:r>
      <w:r>
        <w:rPr>
          <w:b/>
          <w:bCs/>
        </w:rPr>
        <w:t xml:space="preserve">:</w:t>
      </w:r>
      <w:r>
        <w:t xml:space="preserve"> </w:t>
      </w:r>
      <w:r>
        <w:t xml:space="preserve">Zarzut ten jest</w:t>
      </w:r>
      <w:r>
        <w:t xml:space="preserve"> </w:t>
      </w:r>
      <w:r>
        <w:rPr>
          <w:b/>
          <w:bCs/>
        </w:rPr>
        <w:t xml:space="preserve">łatwy do obalenia</w:t>
      </w:r>
      <w:r>
        <w:t xml:space="preserve">.</w:t>
      </w:r>
    </w:p>
    <w:p>
      <w:pPr>
        <w:pStyle w:val="Compact"/>
        <w:numPr>
          <w:ilvl w:val="1"/>
          <w:numId w:val="1007"/>
        </w:numPr>
      </w:pPr>
      <w:r>
        <w:t xml:space="preserve">Wiążący plan sytuacyjny (Załącznik nr 1 do umowy) stanowi precyzyjne określenie granic [Źródło 1]. Dodatkowo, protokół pomiarowy i mapa geodezyjna sporządzone na zlecenie Klienta przez G. Sp. z o.o. w dniu 02.10.2024 jasno wykazały zajęcie 7,9 m² powierzchni należnej Klientowi [Źródło 1]. Dowód z opinii biegłego geodety w postępowaniu sądowym powinien ostatecznie rozstrzygnąć tę kwestię na korzyść Klienta.</w:t>
      </w:r>
    </w:p>
    <w:p>
      <w:pPr>
        <w:pStyle w:val="Compact"/>
        <w:numPr>
          <w:ilvl w:val="0"/>
          <w:numId w:val="1004"/>
        </w:numPr>
      </w:pPr>
      <w:r>
        <w:rPr>
          <w:b/>
          <w:bCs/>
        </w:rPr>
        <w:t xml:space="preserve">“Zasiedzenie części działki”</w:t>
      </w:r>
      <w:r>
        <w:rPr>
          <w:b/>
          <w:bCs/>
        </w:rPr>
        <w:t xml:space="preserve">:</w:t>
      </w:r>
      <w:r>
        <w:t xml:space="preserve"> </w:t>
      </w:r>
      <w:r>
        <w:t xml:space="preserve">Zarzut ten jest</w:t>
      </w:r>
      <w:r>
        <w:t xml:space="preserve"> </w:t>
      </w:r>
      <w:r>
        <w:rPr>
          <w:b/>
          <w:bCs/>
        </w:rPr>
        <w:t xml:space="preserve">całkowicie bezpodstawny</w:t>
      </w:r>
      <w:r>
        <w:t xml:space="preserve">.</w:t>
      </w:r>
    </w:p>
    <w:p>
      <w:pPr>
        <w:pStyle w:val="Compact"/>
        <w:numPr>
          <w:ilvl w:val="1"/>
          <w:numId w:val="1008"/>
        </w:numPr>
      </w:pPr>
      <w:r>
        <w:t xml:space="preserve">P. K. postawiła ogrodzenie 10.04.2024 [Źródło 1]. Termin zasiedzenia nieruchomości wynosi 20 lat (w dobrej wierze) lub 30 lat (w złej wierze). Okres posiadania jest zbyt krótki (kilka miesięcy) do spełnienia przesłanek zasiedzenia. Dodatkowo, posiadanie Najemczyni wynikało z umowy najmu, a nie z samoistnego posiadania prowadzącego do zasiedzenia.</w:t>
      </w:r>
    </w:p>
    <w:bookmarkEnd w:id="17"/>
    <w:bookmarkStart w:id="18" w:name="c-analiza-terminu-i-przedawnienia"/>
    <w:p>
      <w:pPr>
        <w:pStyle w:val="Heading3"/>
      </w:pPr>
      <w:r>
        <w:t xml:space="preserve">c) Analiza terminu i przedawnienia</w:t>
      </w:r>
    </w:p>
    <w:p>
      <w:pPr>
        <w:pStyle w:val="FirstParagraph"/>
      </w:pPr>
      <w:r>
        <w:t xml:space="preserve">Wszystkie roszczenia Klienta są aktualne i</w:t>
      </w:r>
      <w:r>
        <w:t xml:space="preserve"> </w:t>
      </w:r>
      <w:r>
        <w:rPr>
          <w:b/>
          <w:bCs/>
        </w:rPr>
        <w:t xml:space="preserve">nieprzedawnione</w:t>
      </w:r>
      <w:r>
        <w:t xml:space="preserve">.</w:t>
      </w:r>
      <w:r>
        <w:t xml:space="preserve"> </w:t>
      </w:r>
      <w:r>
        <w:t xml:space="preserve">*</w:t>
      </w:r>
      <w:r>
        <w:t xml:space="preserve"> </w:t>
      </w:r>
      <w:r>
        <w:rPr>
          <w:b/>
          <w:bCs/>
        </w:rPr>
        <w:t xml:space="preserve">Data naruszenia:</w:t>
      </w:r>
      <w:r>
        <w:t xml:space="preserve"> </w:t>
      </w:r>
      <w:r>
        <w:t xml:space="preserve">Postawienie ogrodzenia nastąpiło 10.04.2024 [Źródło 1].</w:t>
      </w:r>
      <w:r>
        <w:t xml:space="preserve"> </w:t>
      </w:r>
      <w:r>
        <w:t xml:space="preserve">*</w:t>
      </w:r>
      <w:r>
        <w:t xml:space="preserve"> </w:t>
      </w:r>
      <w:r>
        <w:rPr>
          <w:b/>
          <w:bCs/>
        </w:rPr>
        <w:t xml:space="preserve">Bieg przedawnienia:</w:t>
      </w:r>
      <w:r>
        <w:t xml:space="preserve"> </w:t>
      </w:r>
      <w:r>
        <w:t xml:space="preserve">* Roszczenie negatoryjne (o usunięcie ogrodzenia i przywrócenie stanu poprzedniego) jako roszczenie właściciela nieruchomości</w:t>
      </w:r>
      <w:r>
        <w:t xml:space="preserve"> </w:t>
      </w:r>
      <w:r>
        <w:rPr>
          <w:b/>
          <w:bCs/>
        </w:rPr>
        <w:t xml:space="preserve">nie ulega przedawnieniu</w:t>
      </w:r>
      <w:r>
        <w:t xml:space="preserve">, o ile właściciel nie utracił posiadania. W niniejszej sprawie Klient nie utracił posiadania spornej części działki, a jedynie jego prawo własności jest naruszane.</w:t>
      </w:r>
      <w:r>
        <w:t xml:space="preserve"> </w:t>
      </w:r>
      <w:r>
        <w:t xml:space="preserve">* Roszczenia odszkodowawcze (zwrot kosztów demontażu, kosztów mapy geodezyjnej, odszkodowanie za bezumowne korzystanie) mają charakter majątkowy i podlegają ogólnym terminom przedawnienia.</w:t>
      </w:r>
      <w:r>
        <w:t xml:space="preserve"> </w:t>
      </w:r>
      <w:r>
        <w:t xml:space="preserve">* Roszczenia związane z nienależytym wykonaniem umowy (art. 471 Kodeksu cywilnego) przedawniają się z upływem 6 lat (jeśli Klient jest przedsiębiorcą) lub 3 lat (dla roszczeń związanych z prowadzeniem działalności gospodarczej – art. 118 Kodeksu cywilnego, brak w dostarczonym bloku) od daty wymagalności. W tym przypadku wymagalność nastąpiła po upływie terminu na usunięcie ogrodzenia wskazanego w wezwaniu (15.10.2024) [Źródło 1].</w:t>
      </w:r>
      <w:r>
        <w:t xml:space="preserve"> </w:t>
      </w:r>
      <w:r>
        <w:t xml:space="preserve">* Roszczenia o naprawienie szkody wyrządzonej czynem niedozwolonym (art. 415 Kodeksu cywilnego) przedawniają się z upływem trzech lat od dnia, w którym poszkodowany dowiedział się o szkodzie i o osobie obowiązanej do jej naprawienia, nie później jednak niż z upływem lat dziesięciu od dnia, w którym nastąpiło zdarzenie wywołujące szkodę. W orzeczeniu z dnia 23 grudnia 2019 r., sygn. akt I C 218/19, Sąd powszechny wskazał art. 415 k.c. jako podstawę do dochodzenia odszkodowania [Źródło 1]. Klient dowiedział się o szkodzie w dacie sporządzenia mapy geodezyjnej (02.10.2024) [Źródło 1].</w:t>
      </w:r>
      <w:r>
        <w:t xml:space="preserve"> </w:t>
      </w:r>
      <w:r>
        <w:t xml:space="preserve">*</w:t>
      </w:r>
      <w:r>
        <w:t xml:space="preserve"> </w:t>
      </w:r>
      <w:r>
        <w:rPr>
          <w:b/>
          <w:bCs/>
        </w:rPr>
        <w:t xml:space="preserve">Wszystkie roszczenia są świeże i niezagrożone przedawnieniem.</w:t>
      </w:r>
    </w:p>
    <w:bookmarkEnd w:id="18"/>
    <w:bookmarkStart w:id="19" w:name="d-kwestie-dowodowe"/>
    <w:p>
      <w:pPr>
        <w:pStyle w:val="Heading3"/>
      </w:pPr>
      <w:r>
        <w:t xml:space="preserve">d) Kwestie dowodowe</w:t>
      </w:r>
    </w:p>
    <w:p>
      <w:pPr>
        <w:pStyle w:val="FirstParagraph"/>
      </w:pPr>
      <w:r>
        <w:rPr>
          <w:b/>
          <w:bCs/>
        </w:rPr>
        <w:t xml:space="preserve">Dowody na rzecz Klienta (Pan M. N.):</w:t>
      </w:r>
      <w:r>
        <w:t xml:space="preserve"> </w:t>
      </w:r>
      <w:r>
        <w:t xml:space="preserve">1.</w:t>
      </w:r>
      <w:r>
        <w:t xml:space="preserve"> </w:t>
      </w:r>
      <w:r>
        <w:rPr>
          <w:b/>
          <w:bCs/>
        </w:rPr>
        <w:t xml:space="preserve">Umowa najmu nr ████ z dnia 01.09.2020 r.</w:t>
      </w:r>
      <w:r>
        <w:t xml:space="preserve"> </w:t>
      </w:r>
      <w:r>
        <w:t xml:space="preserve">wraz z Załącznikiem nr 1 (plan sytuacyjny) – dowód na istniejący stosunek umowny, zakres najmu i precyzyjne określenie granic [Źródło 1].</w:t>
      </w:r>
      <w:r>
        <w:t xml:space="preserve"> </w:t>
      </w:r>
      <w:r>
        <w:t xml:space="preserve">2.</w:t>
      </w:r>
      <w:r>
        <w:t xml:space="preserve"> </w:t>
      </w:r>
      <w:r>
        <w:rPr>
          <w:b/>
          <w:bCs/>
        </w:rPr>
        <w:t xml:space="preserve">Protokół pomiarowy i mapa geodezyjna z dnia 02.10.2024 r.</w:t>
      </w:r>
      <w:r>
        <w:t xml:space="preserve"> </w:t>
      </w:r>
      <w:r>
        <w:t xml:space="preserve">(sporządzone przez G. Sp. z o.o.) – kluczowy dowód na faktyczne zajęcie 7,9 m² działki Klienta, niezgodnie z planem najmu i rzeczywistymi granicami [Źródło 1].</w:t>
      </w:r>
      <w:r>
        <w:t xml:space="preserve"> </w:t>
      </w:r>
      <w:r>
        <w:t xml:space="preserve">3.</w:t>
      </w:r>
      <w:r>
        <w:t xml:space="preserve"> </w:t>
      </w:r>
      <w:r>
        <w:rPr>
          <w:b/>
          <w:bCs/>
        </w:rPr>
        <w:t xml:space="preserve">Faktura GM/████/50 na kwotę 3 600,00 zł</w:t>
      </w:r>
      <w:r>
        <w:t xml:space="preserve"> </w:t>
      </w:r>
      <w:r>
        <w:t xml:space="preserve">za mapę geodezyjną – dowód na poniesienie kosztów związanych z ustaleniem naruszenia [Źródło 2].</w:t>
      </w:r>
      <w:r>
        <w:t xml:space="preserve"> </w:t>
      </w:r>
      <w:r>
        <w:t xml:space="preserve">4.</w:t>
      </w:r>
      <w:r>
        <w:t xml:space="preserve"> </w:t>
      </w:r>
      <w:r>
        <w:rPr>
          <w:b/>
          <w:bCs/>
        </w:rPr>
        <w:t xml:space="preserve">Wezwanie przedsądowe z dnia 15.10.2024 r.</w:t>
      </w:r>
      <w:r>
        <w:t xml:space="preserve"> </w:t>
      </w:r>
      <w:r>
        <w:t xml:space="preserve">do usunięcia ogrodzenia i przywrócenia stanu poprzedniego – dowód na podjęcie działań przez Klienta i wezwanie Najemczyni do należytego wykonania umowy [Źródło 1].</w:t>
      </w:r>
      <w:r>
        <w:t xml:space="preserve"> </w:t>
      </w:r>
      <w:r>
        <w:t xml:space="preserve">5.</w:t>
      </w:r>
      <w:r>
        <w:t xml:space="preserve"> </w:t>
      </w:r>
      <w:r>
        <w:rPr>
          <w:b/>
          <w:bCs/>
        </w:rPr>
        <w:t xml:space="preserve">Pismo Najemczyni z dnia 28.10.2024 r.</w:t>
      </w:r>
      <w:r>
        <w:t xml:space="preserve"> </w:t>
      </w:r>
      <w:r>
        <w:t xml:space="preserve">z odmową usunięcia ogrodzenia – dowód na jej stanowisko i brak dobrej wiary po tej dacie [Źródło 1].</w:t>
      </w:r>
      <w:r>
        <w:t xml:space="preserve"> </w:t>
      </w:r>
      <w:r>
        <w:t xml:space="preserve">6.</w:t>
      </w:r>
      <w:r>
        <w:t xml:space="preserve"> </w:t>
      </w:r>
      <w:r>
        <w:rPr>
          <w:b/>
          <w:bCs/>
        </w:rPr>
        <w:t xml:space="preserve">Dokumentacja fotograficzna</w:t>
      </w:r>
      <w:r>
        <w:t xml:space="preserve"> </w:t>
      </w:r>
      <w:r>
        <w:t xml:space="preserve">– zdjęcia przedstawiające stan ogrodzenia i jego lokalizację.</w:t>
      </w:r>
      <w:r>
        <w:t xml:space="preserve"> </w:t>
      </w:r>
      <w:r>
        <w:t xml:space="preserve">7.</w:t>
      </w:r>
      <w:r>
        <w:t xml:space="preserve"> </w:t>
      </w:r>
      <w:r>
        <w:rPr>
          <w:b/>
          <w:bCs/>
        </w:rPr>
        <w:t xml:space="preserve">Faktura (lub inny dokument) potwierdzająca koszt demontażu</w:t>
      </w:r>
      <w:r>
        <w:t xml:space="preserve"> </w:t>
      </w:r>
      <w:r>
        <w:t xml:space="preserve">w kwocie 1 200,00 zł brutto [Źródło 2].</w:t>
      </w:r>
      <w:r>
        <w:t xml:space="preserve"> </w:t>
      </w:r>
      <w:r>
        <w:t xml:space="preserve">8.</w:t>
      </w:r>
      <w:r>
        <w:t xml:space="preserve"> </w:t>
      </w:r>
      <w:r>
        <w:rPr>
          <w:b/>
          <w:bCs/>
        </w:rPr>
        <w:t xml:space="preserve">Zeznania świadków:</w:t>
      </w:r>
      <w:r>
        <w:t xml:space="preserve"> </w:t>
      </w:r>
      <w:r>
        <w:t xml:space="preserve">* P. G. Sp. z o.o. – w celu potwierdzenia prawidłowości sporządzenia protokołu i mapy.</w:t>
      </w:r>
      <w:r>
        <w:t xml:space="preserve"> </w:t>
      </w:r>
      <w:r>
        <w:t xml:space="preserve">* Ewentualnie inne osoby, które mogą potwierdzić przebieg wydarzeń lub brak zgody Klienta na zabudowę.</w:t>
      </w:r>
      <w:r>
        <w:t xml:space="preserve"> </w:t>
      </w:r>
      <w:r>
        <w:t xml:space="preserve">9.</w:t>
      </w:r>
      <w:r>
        <w:t xml:space="preserve"> </w:t>
      </w:r>
      <w:r>
        <w:rPr>
          <w:b/>
          <w:bCs/>
        </w:rPr>
        <w:t xml:space="preserve">Opinia biegłego geodety</w:t>
      </w:r>
      <w:r>
        <w:t xml:space="preserve"> </w:t>
      </w:r>
      <w:r>
        <w:t xml:space="preserve">– w postępowaniu sądowym będzie niezbędna do bezspornego ustalenia przebiegu granicy i potwierdzenia, że ogrodzenie stoi na nieruchomości Klienta.</w:t>
      </w:r>
    </w:p>
    <w:p>
      <w:pPr>
        <w:pStyle w:val="BodyText"/>
      </w:pPr>
      <w:r>
        <w:rPr>
          <w:b/>
          <w:bCs/>
        </w:rPr>
        <w:t xml:space="preserve">Obalanie kontrargumentów Najemczyni:</w:t>
      </w:r>
      <w:r>
        <w:t xml:space="preserve"> </w:t>
      </w:r>
      <w:r>
        <w:t xml:space="preserve">*</w:t>
      </w:r>
      <w:r>
        <w:t xml:space="preserve"> </w:t>
      </w:r>
      <w:r>
        <w:rPr>
          <w:b/>
          <w:bCs/>
        </w:rPr>
        <w:t xml:space="preserve">“Dobra wiara”</w:t>
      </w:r>
      <w:r>
        <w:rPr>
          <w:b/>
          <w:bCs/>
        </w:rPr>
        <w:t xml:space="preserve">,</w:t>
      </w:r>
      <w:r>
        <w:rPr>
          <w:b/>
          <w:bCs/>
        </w:rPr>
        <w:t xml:space="preserve"> </w:t>
      </w:r>
      <w:r>
        <w:rPr>
          <w:b/>
          <w:bCs/>
        </w:rPr>
        <w:t xml:space="preserve">“ustne porozumienie”</w:t>
      </w:r>
      <w:r>
        <w:rPr>
          <w:b/>
          <w:bCs/>
        </w:rPr>
        <w:t xml:space="preserve">:</w:t>
      </w:r>
      <w:r>
        <w:t xml:space="preserve"> </w:t>
      </w:r>
      <w:r>
        <w:t xml:space="preserve">Umowa najmu z Załącznikiem nr 1 (plan sytuacyjny) jest pisemnym, wiążącym dokumentem [Źródło 1]. Ewentualne ustne porozumienia są bezskuteczne wobec treści umowy, która wymaga pisemnej zgody na trwałe zabudowy [Źródło 1]. Ponadto, pismo Klienta z 15.10.2024 r. [Źródło 1] pozbawia Najemczynię możliwości powoływania się na dobrą wiarę w zakresie dalszego posiadania spornej części działki.</w:t>
      </w:r>
      <w:r>
        <w:t xml:space="preserve"> </w:t>
      </w:r>
      <w:r>
        <w:t xml:space="preserve">*</w:t>
      </w:r>
      <w:r>
        <w:t xml:space="preserve"> </w:t>
      </w:r>
      <w:r>
        <w:rPr>
          <w:b/>
          <w:bCs/>
        </w:rPr>
        <w:t xml:space="preserve">“Poniesione nakłady”</w:t>
      </w:r>
      <w:r>
        <w:rPr>
          <w:b/>
          <w:bCs/>
        </w:rPr>
        <w:t xml:space="preserve">:</w:t>
      </w:r>
      <w:r>
        <w:t xml:space="preserve"> </w:t>
      </w:r>
      <w:r>
        <w:t xml:space="preserve">§ 3 ust. 2 umowy jednoznacznie wyłącza zwrot nakładów bez pisemnej akceptacji Wynajmującego [Źródło 1]. Brak takiej akceptacji oznacza brak podstaw do zwrotu nakładów.</w:t>
      </w:r>
      <w:r>
        <w:t xml:space="preserve"> </w:t>
      </w:r>
      <w:r>
        <w:t xml:space="preserve">*</w:t>
      </w:r>
      <w:r>
        <w:t xml:space="preserve"> </w:t>
      </w:r>
      <w:r>
        <w:rPr>
          <w:b/>
          <w:bCs/>
        </w:rPr>
        <w:t xml:space="preserve">“Zasiedzenie”</w:t>
      </w:r>
      <w:r>
        <w:rPr>
          <w:b/>
          <w:bCs/>
        </w:rPr>
        <w:t xml:space="preserve">:</w:t>
      </w:r>
      <w:r>
        <w:t xml:space="preserve"> </w:t>
      </w:r>
      <w:r>
        <w:t xml:space="preserve">Fakt postawienia ogrodzenia 10.04.2024 r. [Źródło 1] świadczy o zbyt krótkim okresie posiadania, co uniemożliwia zasiedzenie.</w:t>
      </w:r>
    </w:p>
    <w:p>
      <w:pPr>
        <w:pStyle w:val="BodyText"/>
      </w:pPr>
      <w:r>
        <w:t xml:space="preserve">W orzecznictwie wielokrotnie podkreślano, że ciężar udowodnienia faktów spoczywa na osobie, która z tych faktów wywodzi skutki prawne (art. 6 Kodeksu cywilnego w zw. z art. 232 Kodeksu postępowania cywilnego). W wyrokach Sądów powszechnych, np. z dnia 10 stycznia 2018 r., sygn. akt I C 3559/17 upr. [Źródło 4], z dnia 8 sierpnia 2017 r., sygn. akt I C 1008/17 upr. [Źródło 8], z dnia 28 września 2017 r., sygn. akt I C 1769/17 upr. [Źródło 9], oraz z dnia 3 października 2017 r., sygn. akt I C 1634/17 upr. [Źródło 10], zwracano uwagę na konieczność przedstawienia przez powoda wystarczających dowodów na istnienie i wysokość roszczenia. W konsekwencji Klient musi zadbać o zgromadzenie kompletnych dowodów.</w:t>
      </w:r>
    </w:p>
    <w:bookmarkEnd w:id="19"/>
    <w:bookmarkEnd w:id="20"/>
    <w:bookmarkStart w:id="21" w:name="wyliczenie-roszczeń"/>
    <w:p>
      <w:pPr>
        <w:pStyle w:val="Heading2"/>
      </w:pPr>
      <w:r>
        <w:t xml:space="preserve">Wyliczenie roszczeń</w:t>
      </w:r>
    </w:p>
    <w:p>
      <w:pPr>
        <w:pStyle w:val="FirstParagraph"/>
      </w:pPr>
      <w:r>
        <w:t xml:space="preserve">Klient może dochodzić następujących roszczeń pieniężnych:</w:t>
      </w:r>
    </w:p>
    <w:p>
      <w:pPr>
        <w:pStyle w:val="Compact"/>
        <w:numPr>
          <w:ilvl w:val="0"/>
          <w:numId w:val="1009"/>
        </w:numPr>
      </w:pPr>
      <w:r>
        <w:rPr>
          <w:b/>
          <w:bCs/>
        </w:rPr>
        <w:t xml:space="preserve">Koszty demontażu ogrodzenia:</w:t>
      </w:r>
    </w:p>
    <w:p>
      <w:pPr>
        <w:pStyle w:val="Compact"/>
        <w:numPr>
          <w:ilvl w:val="1"/>
          <w:numId w:val="1010"/>
        </w:numPr>
      </w:pPr>
      <w:r>
        <w:t xml:space="preserve">Kwota:</w:t>
      </w:r>
      <w:r>
        <w:t xml:space="preserve"> </w:t>
      </w:r>
      <w:r>
        <w:rPr>
          <w:b/>
          <w:bCs/>
        </w:rPr>
        <w:t xml:space="preserve">1 200,00 zł brutto</w:t>
      </w:r>
      <w:r>
        <w:t xml:space="preserve"> </w:t>
      </w:r>
      <w:r>
        <w:t xml:space="preserve">[Źródło 2].</w:t>
      </w:r>
    </w:p>
    <w:p>
      <w:pPr>
        <w:pStyle w:val="Compact"/>
        <w:numPr>
          <w:ilvl w:val="1"/>
          <w:numId w:val="1010"/>
        </w:numPr>
      </w:pPr>
      <w:r>
        <w:t xml:space="preserve">Podstawa prawna: Art. 471 Kodeksu cywilnego w związku z § 3 ust. 2 umowy najmu [Źródło 1].</w:t>
      </w:r>
    </w:p>
    <w:p>
      <w:pPr>
        <w:pStyle w:val="Compact"/>
        <w:numPr>
          <w:ilvl w:val="1"/>
          <w:numId w:val="1010"/>
        </w:numPr>
      </w:pPr>
      <w:r>
        <w:t xml:space="preserve">Odsetki: Ustawowe odsetki za opóźnienie od dnia wymagalności, tj. od dnia następującego po upływie terminu wskazanego w ostatecznym wezwaniu przedsądowym (np. 7 dni od dnia doręczenia).</w:t>
      </w:r>
    </w:p>
    <w:p>
      <w:pPr>
        <w:pStyle w:val="Compact"/>
        <w:numPr>
          <w:ilvl w:val="0"/>
          <w:numId w:val="1009"/>
        </w:numPr>
      </w:pPr>
      <w:r>
        <w:rPr>
          <w:b/>
          <w:bCs/>
        </w:rPr>
        <w:t xml:space="preserve">Koszty sporządzenia mapy geodezyjnej:</w:t>
      </w:r>
    </w:p>
    <w:p>
      <w:pPr>
        <w:pStyle w:val="Compact"/>
        <w:numPr>
          <w:ilvl w:val="1"/>
          <w:numId w:val="1011"/>
        </w:numPr>
      </w:pPr>
      <w:r>
        <w:t xml:space="preserve">Kwota:</w:t>
      </w:r>
      <w:r>
        <w:t xml:space="preserve"> </w:t>
      </w:r>
      <w:r>
        <w:rPr>
          <w:b/>
          <w:bCs/>
        </w:rPr>
        <w:t xml:space="preserve">3 600,00 zł brutto</w:t>
      </w:r>
      <w:r>
        <w:t xml:space="preserve"> </w:t>
      </w:r>
      <w:r>
        <w:t xml:space="preserve">(faktura GM/████/50) [Źródło 2].</w:t>
      </w:r>
    </w:p>
    <w:p>
      <w:pPr>
        <w:pStyle w:val="Compact"/>
        <w:numPr>
          <w:ilvl w:val="1"/>
          <w:numId w:val="1011"/>
        </w:numPr>
      </w:pPr>
      <w:r>
        <w:t xml:space="preserve">Podstawa prawna: Art. 471 Kodeksu cywilnego (szkoda związana z nienależytym wykonaniem umowy) lub art. 415 Kodeksu cywilnego (szkoda z czynu niedozwolonego, tj. naruszenia własności). Koszty te były niezbędne do ustalenia zakresu naruszenia.</w:t>
      </w:r>
    </w:p>
    <w:p>
      <w:pPr>
        <w:pStyle w:val="Compact"/>
        <w:numPr>
          <w:ilvl w:val="1"/>
          <w:numId w:val="1011"/>
        </w:numPr>
      </w:pPr>
      <w:r>
        <w:t xml:space="preserve">Odsetki: Ustawowe odsetki za opóźnienie od dnia wymagalności, tj. od dnia następującego po upływie terminu wskazanego w ostatecznym wezwaniu przedsądowym (np. 7 dni od dnia doręczenia).</w:t>
      </w:r>
    </w:p>
    <w:p>
      <w:pPr>
        <w:pStyle w:val="Compact"/>
        <w:numPr>
          <w:ilvl w:val="0"/>
          <w:numId w:val="1009"/>
        </w:numPr>
      </w:pPr>
      <w:r>
        <w:rPr>
          <w:b/>
          <w:bCs/>
        </w:rPr>
        <w:t xml:space="preserve">Odszkodowanie/zwrot wartości za bezumowne korzystanie z zajętej powierzchni:</w:t>
      </w:r>
    </w:p>
    <w:p>
      <w:pPr>
        <w:pStyle w:val="Compact"/>
        <w:numPr>
          <w:ilvl w:val="1"/>
          <w:numId w:val="1012"/>
        </w:numPr>
      </w:pPr>
      <w:r>
        <w:t xml:space="preserve">Powierzchnia: 7,9 m² [Źródło 1].</w:t>
      </w:r>
    </w:p>
    <w:p>
      <w:pPr>
        <w:pStyle w:val="Compact"/>
        <w:numPr>
          <w:ilvl w:val="1"/>
          <w:numId w:val="1012"/>
        </w:numPr>
      </w:pPr>
      <w:r>
        <w:t xml:space="preserve">Okres korzystania: Od 10.04.2024 r. (data postawienia ogrodzenia) do dnia usunięcia ogrodzenia.</w:t>
      </w:r>
    </w:p>
    <w:p>
      <w:pPr>
        <w:pStyle w:val="Compact"/>
        <w:numPr>
          <w:ilvl w:val="1"/>
          <w:numId w:val="1012"/>
        </w:numPr>
      </w:pPr>
      <w:r>
        <w:t xml:space="preserve">Stawka: Proponowana stawka</w:t>
      </w:r>
      <w:r>
        <w:t xml:space="preserve"> </w:t>
      </w:r>
      <w:r>
        <w:rPr>
          <w:b/>
          <w:bCs/>
        </w:rPr>
        <w:t xml:space="preserve">0,80 zł/m²/dzień</w:t>
      </w:r>
      <w:r>
        <w:t xml:space="preserve"> </w:t>
      </w:r>
      <w:r>
        <w:t xml:space="preserve">[Źródło 2].</w:t>
      </w:r>
    </w:p>
    <w:p>
      <w:pPr>
        <w:pStyle w:val="Compact"/>
        <w:numPr>
          <w:ilvl w:val="1"/>
          <w:numId w:val="1012"/>
        </w:numPr>
      </w:pPr>
      <w:r>
        <w:rPr>
          <w:b/>
          <w:bCs/>
        </w:rPr>
        <w:t xml:space="preserve">Sposób obliczenia:</w:t>
      </w:r>
      <w:r>
        <w:t xml:space="preserve"> </w:t>
      </w:r>
      <w:r>
        <w:t xml:space="preserve">Kwota dzienna = 7,9 m² * 0,80 zł/m²/dzień = 6,32 zł/dzień.</w:t>
      </w:r>
    </w:p>
    <w:p>
      <w:pPr>
        <w:pStyle w:val="Compact"/>
        <w:numPr>
          <w:ilvl w:val="2"/>
          <w:numId w:val="1013"/>
        </w:numPr>
      </w:pPr>
      <w:r>
        <w:t xml:space="preserve">Obliczenie na dzień 05.10.2026 r.:</w:t>
      </w:r>
    </w:p>
    <w:p>
      <w:pPr>
        <w:pStyle w:val="Compact"/>
        <w:numPr>
          <w:ilvl w:val="3"/>
          <w:numId w:val="1014"/>
        </w:numPr>
      </w:pPr>
      <w:r>
        <w:t xml:space="preserve">Liczba dni od 10.04.2024 do 05.10.2026 = 909 dni.</w:t>
      </w:r>
    </w:p>
    <w:p>
      <w:pPr>
        <w:pStyle w:val="Compact"/>
        <w:numPr>
          <w:ilvl w:val="3"/>
          <w:numId w:val="1014"/>
        </w:numPr>
      </w:pPr>
      <w:r>
        <w:t xml:space="preserve">Kwota odszkodowania = 909 dni * 6,32 zł/dzień =</w:t>
      </w:r>
      <w:r>
        <w:t xml:space="preserve"> </w:t>
      </w:r>
      <w:r>
        <w:rPr>
          <w:b/>
          <w:bCs/>
        </w:rPr>
        <w:t xml:space="preserve">5 741,52 zł</w:t>
      </w:r>
      <w:r>
        <w:t xml:space="preserve">.</w:t>
      </w:r>
    </w:p>
    <w:p>
      <w:pPr>
        <w:pStyle w:val="Compact"/>
        <w:numPr>
          <w:ilvl w:val="2"/>
          <w:numId w:val="1013"/>
        </w:numPr>
      </w:pPr>
      <w:r>
        <w:t xml:space="preserve">W pozwie należy żądać zasądzenia tej kwoty</w:t>
      </w:r>
      <w:r>
        <w:t xml:space="preserve"> </w:t>
      </w:r>
      <w:r>
        <w:rPr>
          <w:b/>
          <w:bCs/>
        </w:rPr>
        <w:t xml:space="preserve">do dnia wniesienia pozwu</w:t>
      </w:r>
      <w:r>
        <w:t xml:space="preserve"> </w:t>
      </w:r>
      <w:r>
        <w:t xml:space="preserve">oraz dalszych kwot w wysokości 6,32 zł dziennie</w:t>
      </w:r>
      <w:r>
        <w:t xml:space="preserve"> </w:t>
      </w:r>
      <w:r>
        <w:rPr>
          <w:b/>
          <w:bCs/>
        </w:rPr>
        <w:t xml:space="preserve">od dnia wniesienia pozwu do dnia faktycznego usunięcia ogrodzenia i przywrócenia stanu poprzedniego</w:t>
      </w:r>
      <w:r>
        <w:t xml:space="preserve">.</w:t>
      </w:r>
    </w:p>
    <w:p>
      <w:pPr>
        <w:pStyle w:val="Compact"/>
        <w:numPr>
          <w:ilvl w:val="1"/>
          <w:numId w:val="1012"/>
        </w:numPr>
      </w:pPr>
      <w:r>
        <w:t xml:space="preserve">Podstawa prawna: Roszczenia uzupełniające właściciela wobec posiadacza samoistnego w złej wierze (odpowiednio art. 224 § 2 w zw. z art. 225 Kodeksu cywilnego – brak w dostarczonym bloku, ale ogólnie można wskazać, że roszczenia te obejmują wynagrodzenie za korzystanie z rzeczy).</w:t>
      </w:r>
    </w:p>
    <w:p>
      <w:pPr>
        <w:pStyle w:val="Compact"/>
        <w:numPr>
          <w:ilvl w:val="1"/>
          <w:numId w:val="1012"/>
        </w:numPr>
      </w:pPr>
      <w:r>
        <w:t xml:space="preserve">Alternatywy: Można powołać się na stawkę rynkową najmu podobnych nieruchomości, co będzie wymagało opinii biegłego rzeczoznawcy majątkowego. Stawka 0,80 zł/m²/dzień powinna być udowodniona (np. przez przedstawienie analogicznych cen rynkowych lub wykazanie, że jest to rozsądna kalkulacja dla tego typu nieruchomości).</w:t>
      </w:r>
    </w:p>
    <w:p>
      <w:pPr>
        <w:pStyle w:val="Compact"/>
        <w:numPr>
          <w:ilvl w:val="1"/>
          <w:numId w:val="1012"/>
        </w:numPr>
      </w:pPr>
      <w:r>
        <w:t xml:space="preserve">Odsetki: Ustawowe odsetki za opóźnienie od dnia wymagalności (po wezwaniu) lub od dnia doręczenia pozwu Najemczyni.</w:t>
      </w:r>
    </w:p>
    <w:p>
      <w:pPr>
        <w:pStyle w:val="FirstParagraph"/>
      </w:pPr>
      <w:r>
        <w:rPr>
          <w:b/>
          <w:bCs/>
        </w:rPr>
        <w:t xml:space="preserve">Orientacyjna łączna kwota roszczeń na dzień 05.10.2026 r. (przed wniesieniem pozwu):</w:t>
      </w:r>
      <w:r>
        <w:t xml:space="preserve"> </w:t>
      </w:r>
      <w:r>
        <w:t xml:space="preserve">1 200,00 zł (demontaż) + 3 600,00 zł (mapa geodezyjna) + 5 741,52 zł (bezumowne korzystanie) =</w:t>
      </w:r>
      <w:r>
        <w:t xml:space="preserve"> </w:t>
      </w:r>
      <w:r>
        <w:rPr>
          <w:b/>
          <w:bCs/>
        </w:rPr>
        <w:t xml:space="preserve">10 541,52 zł</w:t>
      </w:r>
      <w:r>
        <w:t xml:space="preserve">.</w:t>
      </w:r>
      <w:r>
        <w:t xml:space="preserve"> </w:t>
      </w:r>
      <w:r>
        <w:t xml:space="preserve">Do tej kwoty dojdą odsetki ustawowe za opóźnienie.</w:t>
      </w:r>
    </w:p>
    <w:p>
      <w:pPr>
        <w:pStyle w:val="BodyText"/>
      </w:pPr>
      <w:r>
        <w:rPr>
          <w:b/>
          <w:bCs/>
        </w:rPr>
        <w:t xml:space="preserve">Koszty procesu (szacunkowo na 2025 r.):</w:t>
      </w:r>
      <w:r>
        <w:t xml:space="preserve"> </w:t>
      </w:r>
      <w:r>
        <w:t xml:space="preserve">*</w:t>
      </w:r>
      <w:r>
        <w:t xml:space="preserve"> </w:t>
      </w:r>
      <w:r>
        <w:rPr>
          <w:b/>
          <w:bCs/>
        </w:rPr>
        <w:t xml:space="preserve">Opłata sądowa od pozwu:</w:t>
      </w:r>
      <w:r>
        <w:t xml:space="preserve"> </w:t>
      </w:r>
      <w:r>
        <w:t xml:space="preserve">5% wartości przedmiotu sporu. Dla kwoty 10 541,52 zł, opłata wyniesie około 527,08 zł.</w:t>
      </w:r>
      <w:r>
        <w:t xml:space="preserve"> </w:t>
      </w:r>
      <w:r>
        <w:t xml:space="preserve">*</w:t>
      </w:r>
      <w:r>
        <w:t xml:space="preserve"> </w:t>
      </w:r>
      <w:r>
        <w:rPr>
          <w:b/>
          <w:bCs/>
        </w:rPr>
        <w:t xml:space="preserve">Koszty zastępstwa procesowego:</w:t>
      </w:r>
      <w:r>
        <w:t xml:space="preserve"> </w:t>
      </w:r>
      <w:r>
        <w:t xml:space="preserve">Według stawek minimalnych Rozporządzenia Ministra Sprawiedliwości w sprawie opłat za czynności adwokackie/radców prawnych. Przy wartości przedmiotu sporu do 10 000 zł, stawka wynosi 1 800 zł. Przy wartości powyżej 10 000 zł do 50 000 zł, stawka wynosi 3 600 zł. W tym przypadku będzie to 3 600 zł.</w:t>
      </w:r>
      <w:r>
        <w:t xml:space="preserve"> </w:t>
      </w:r>
      <w:r>
        <w:t xml:space="preserve">*</w:t>
      </w:r>
      <w:r>
        <w:t xml:space="preserve"> </w:t>
      </w:r>
      <w:r>
        <w:rPr>
          <w:b/>
          <w:bCs/>
        </w:rPr>
        <w:t xml:space="preserve">Opłaty za biegłych:</w:t>
      </w:r>
      <w:r>
        <w:t xml:space="preserve"> </w:t>
      </w:r>
      <w:r>
        <w:t xml:space="preserve">Koszt opinii biegłego geodety może wynieść od kilku do kilkunastu tysięcy złotych, w zależności od złożoności sprawy i regionu. Szacunkowo: 3 000 zł - 6 000 zł.</w:t>
      </w:r>
      <w:r>
        <w:t xml:space="preserve"> </w:t>
      </w:r>
      <w:r>
        <w:t xml:space="preserve">*</w:t>
      </w:r>
      <w:r>
        <w:t xml:space="preserve"> </w:t>
      </w:r>
      <w:r>
        <w:rPr>
          <w:b/>
          <w:bCs/>
        </w:rPr>
        <w:t xml:space="preserve">Łączne szacunkowe koszty procesu:</w:t>
      </w:r>
      <w:r>
        <w:t xml:space="preserve"> </w:t>
      </w:r>
      <w:r>
        <w:t xml:space="preserve">527,08 zł (opłata sądowa) + 3 600,00 zł (zastępstwo procesowe) + 4 000,00 zł (biegły, średnia) =</w:t>
      </w:r>
      <w:r>
        <w:t xml:space="preserve"> </w:t>
      </w:r>
      <w:r>
        <w:rPr>
          <w:b/>
          <w:bCs/>
        </w:rPr>
        <w:t xml:space="preserve">~8 127,08 zł</w:t>
      </w:r>
      <w:r>
        <w:t xml:space="preserve">. Ostateczne rozliczenie kosztów nastąpi po zakończeniu postępowania.</w:t>
      </w:r>
    </w:p>
    <w:bookmarkEnd w:id="21"/>
    <w:bookmarkStart w:id="25" w:name="rejestr-ryzyk-i-szans"/>
    <w:p>
      <w:pPr>
        <w:pStyle w:val="Heading2"/>
      </w:pPr>
      <w:r>
        <w:t xml:space="preserve">Rejestr ryzyk i szans</w:t>
      </w:r>
    </w:p>
    <w:bookmarkStart w:id="22" w:name="mocne-i-słabe-punkty-sprawy-klienta"/>
    <w:p>
      <w:pPr>
        <w:pStyle w:val="Heading3"/>
      </w:pPr>
      <w:r>
        <w:t xml:space="preserve">Mocne i słabe punkty sprawy Klienta</w:t>
      </w:r>
    </w:p>
    <w:p>
      <w:pPr>
        <w:pStyle w:val="FirstParagraph"/>
      </w:pPr>
      <w:r>
        <w:rPr>
          <w:b/>
          <w:bCs/>
        </w:rPr>
        <w:t xml:space="preserve">Mocne punkty:</w:t>
      </w:r>
      <w:r>
        <w:t xml:space="preserve"> </w:t>
      </w:r>
      <w:r>
        <w:t xml:space="preserve">*</w:t>
      </w:r>
      <w:r>
        <w:t xml:space="preserve"> </w:t>
      </w:r>
      <w:r>
        <w:rPr>
          <w:b/>
          <w:bCs/>
        </w:rPr>
        <w:t xml:space="preserve">Jasne postanowienia umowne:</w:t>
      </w:r>
      <w:r>
        <w:t xml:space="preserve"> </w:t>
      </w:r>
      <w:r>
        <w:t xml:space="preserve">Umowa najmu precyzyjnie określała granice wynajmowanej części wraz z wiążącym planem sytuacyjnym [Źródło 1].</w:t>
      </w:r>
      <w:r>
        <w:t xml:space="preserve"> </w:t>
      </w:r>
      <w:r>
        <w:t xml:space="preserve">*</w:t>
      </w:r>
      <w:r>
        <w:t xml:space="preserve"> </w:t>
      </w:r>
      <w:r>
        <w:rPr>
          <w:b/>
          <w:bCs/>
        </w:rPr>
        <w:t xml:space="preserve">Wymóg pisemnej zgody na zabudowy:</w:t>
      </w:r>
      <w:r>
        <w:t xml:space="preserve"> </w:t>
      </w:r>
      <w:r>
        <w:t xml:space="preserve">Klauzula umowna (§ 3 ust. 1 umowy [Źródło 1]) jasno stanowiła o konieczności pisemnej zgody na trwałe zabudowy, której brak.</w:t>
      </w:r>
      <w:r>
        <w:t xml:space="preserve"> </w:t>
      </w:r>
      <w:r>
        <w:t xml:space="preserve">*</w:t>
      </w:r>
      <w:r>
        <w:t xml:space="preserve"> </w:t>
      </w:r>
      <w:r>
        <w:rPr>
          <w:b/>
          <w:bCs/>
        </w:rPr>
        <w:t xml:space="preserve">Wyłączenie zwrotu nakładów:</w:t>
      </w:r>
      <w:r>
        <w:t xml:space="preserve"> </w:t>
      </w:r>
      <w:r>
        <w:t xml:space="preserve">§ 3 ust. 2 umowy [Źródło 1] skutecznie wyłącza roszczenia Najemczyni o zwrot kosztów poniesionych na ogrodzenie.</w:t>
      </w:r>
      <w:r>
        <w:t xml:space="preserve"> </w:t>
      </w:r>
      <w:r>
        <w:t xml:space="preserve">*</w:t>
      </w:r>
      <w:r>
        <w:t xml:space="preserve"> </w:t>
      </w:r>
      <w:r>
        <w:rPr>
          <w:b/>
          <w:bCs/>
        </w:rPr>
        <w:t xml:space="preserve">Dokumentacja geodezyjna:</w:t>
      </w:r>
      <w:r>
        <w:t xml:space="preserve"> </w:t>
      </w:r>
      <w:r>
        <w:t xml:space="preserve">Protokół pomiarowy i mapa geodezyjna potwierdzają zajęcie części nieruchomości Klienta [Źródło 1].</w:t>
      </w:r>
      <w:r>
        <w:t xml:space="preserve"> </w:t>
      </w:r>
      <w:r>
        <w:t xml:space="preserve">*</w:t>
      </w:r>
      <w:r>
        <w:t xml:space="preserve"> </w:t>
      </w:r>
      <w:r>
        <w:rPr>
          <w:b/>
          <w:bCs/>
        </w:rPr>
        <w:t xml:space="preserve">Krótki okres posiadania:</w:t>
      </w:r>
      <w:r>
        <w:t xml:space="preserve"> </w:t>
      </w:r>
      <w:r>
        <w:t xml:space="preserve">Znacznie poniżej wymaganego do zasiedzenia, co czyni zarzut zasiedzenia bezpodstawnym.</w:t>
      </w:r>
      <w:r>
        <w:t xml:space="preserve"> </w:t>
      </w:r>
      <w:r>
        <w:t xml:space="preserve">*</w:t>
      </w:r>
      <w:r>
        <w:t xml:space="preserve"> </w:t>
      </w:r>
      <w:r>
        <w:rPr>
          <w:b/>
          <w:bCs/>
        </w:rPr>
        <w:t xml:space="preserve">Brak dobrej wiary Najemczyni:</w:t>
      </w:r>
      <w:r>
        <w:t xml:space="preserve"> </w:t>
      </w:r>
      <w:r>
        <w:t xml:space="preserve">Pismo z 28.10.2024 r. [Źródło 1], zawierające odmowę usunięcia ogrodzenia, świadczy o złej wierze Najemczyni, co jest istotne dla roszczeń uzupełniających.</w:t>
      </w:r>
    </w:p>
    <w:p>
      <w:pPr>
        <w:pStyle w:val="BodyText"/>
      </w:pPr>
      <w:r>
        <w:rPr>
          <w:b/>
          <w:bCs/>
        </w:rPr>
        <w:t xml:space="preserve">Słabe punkty:</w:t>
      </w:r>
      <w:r>
        <w:t xml:space="preserve"> </w:t>
      </w:r>
      <w:r>
        <w:t xml:space="preserve">*</w:t>
      </w:r>
      <w:r>
        <w:t xml:space="preserve"> </w:t>
      </w:r>
      <w:r>
        <w:rPr>
          <w:b/>
          <w:bCs/>
        </w:rPr>
        <w:t xml:space="preserve">Konieczność opinii biegłego:</w:t>
      </w:r>
      <w:r>
        <w:t xml:space="preserve"> </w:t>
      </w:r>
      <w:r>
        <w:t xml:space="preserve">Ustalenie precyzyjnego przebiegu granicy i wyliczenie wartości bezumownego korzystania może wymagać opinii biegłego geodety i rzeczoznawcy majątkowego, co wydłuży i podroży postępowanie.</w:t>
      </w:r>
      <w:r>
        <w:t xml:space="preserve"> </w:t>
      </w:r>
      <w:r>
        <w:t xml:space="preserve">*</w:t>
      </w:r>
      <w:r>
        <w:t xml:space="preserve"> </w:t>
      </w:r>
      <w:r>
        <w:rPr>
          <w:b/>
          <w:bCs/>
        </w:rPr>
        <w:t xml:space="preserve">Ewentualna interpretacja planu sytuacyjnego:</w:t>
      </w:r>
      <w:r>
        <w:t xml:space="preserve"> </w:t>
      </w:r>
      <w:r>
        <w:t xml:space="preserve">Pomimo że Klient uważa plan za wiążący, Najemczyni może próbować kwestionować jego precyzyjność, choć dowód geodezyjny powinien to obalić.</w:t>
      </w:r>
    </w:p>
    <w:bookmarkEnd w:id="22"/>
    <w:bookmarkStart w:id="23" w:name="X5eeb7dc324228a207dd6463881fe2c409fb0390"/>
    <w:p>
      <w:pPr>
        <w:pStyle w:val="Heading3"/>
      </w:pPr>
      <w:r>
        <w:t xml:space="preserve">Kontrargumenty strony przeciwnej i ich obalenie</w:t>
      </w:r>
    </w:p>
    <w:p>
      <w:pPr>
        <w:pStyle w:val="Compact"/>
        <w:numPr>
          <w:ilvl w:val="0"/>
          <w:numId w:val="1015"/>
        </w:numPr>
      </w:pPr>
      <w:r>
        <w:rPr>
          <w:b/>
          <w:bCs/>
        </w:rPr>
        <w:t xml:space="preserve">“Dobra wiara”</w:t>
      </w:r>
      <w:r>
        <w:rPr>
          <w:b/>
          <w:bCs/>
        </w:rPr>
        <w:t xml:space="preserve">:</w:t>
      </w:r>
      <w:r>
        <w:t xml:space="preserve"> </w:t>
      </w:r>
      <w:r>
        <w:t xml:space="preserve">Najemczyni może twierdzić, że działała w dobrej wierze, zwłaszcza powołując się na ustne porozumienie.</w:t>
      </w:r>
    </w:p>
    <w:p>
      <w:pPr>
        <w:pStyle w:val="Compact"/>
        <w:numPr>
          <w:ilvl w:val="1"/>
          <w:numId w:val="1016"/>
        </w:numPr>
      </w:pPr>
      <w:r>
        <w:rPr>
          <w:b/>
          <w:bCs/>
        </w:rPr>
        <w:t xml:space="preserve">Obalenie:</w:t>
      </w:r>
      <w:r>
        <w:t xml:space="preserve"> </w:t>
      </w:r>
      <w:r>
        <w:t xml:space="preserve">Wiążący plan sytuacyjny (Załącznik nr 1 do umowy) [Źródło 1] oraz klauzula o pisemnej zgodzie na zabudowy (§ 3 ust. 1 umowy [Źródło 1]) obalają dobrą wiarę. Ustne porozumienia są nieskuteczne. Po otrzymaniu wezwania z 15.10.2024 r. [Źródło 1], dobra wiara Najemczyni definitywnie ustaje.</w:t>
      </w:r>
    </w:p>
    <w:p>
      <w:pPr>
        <w:pStyle w:val="Compact"/>
        <w:numPr>
          <w:ilvl w:val="0"/>
          <w:numId w:val="1015"/>
        </w:numPr>
      </w:pPr>
      <w:r>
        <w:rPr>
          <w:b/>
          <w:bCs/>
        </w:rPr>
        <w:t xml:space="preserve">“Ustne porozumienie z poprzednim najemcą”</w:t>
      </w:r>
      <w:r>
        <w:rPr>
          <w:b/>
          <w:bCs/>
        </w:rPr>
        <w:t xml:space="preserve">:</w:t>
      </w:r>
      <w:r>
        <w:t xml:space="preserve"> </w:t>
      </w:r>
      <w:r>
        <w:t xml:space="preserve">Najemczyni może twierdzić, że otrzymała ustną zgodę od poprzedniego najemcy.</w:t>
      </w:r>
    </w:p>
    <w:p>
      <w:pPr>
        <w:pStyle w:val="Compact"/>
        <w:numPr>
          <w:ilvl w:val="1"/>
          <w:numId w:val="1017"/>
        </w:numPr>
      </w:pPr>
      <w:r>
        <w:rPr>
          <w:b/>
          <w:bCs/>
        </w:rPr>
        <w:t xml:space="preserve">Obalenie:</w:t>
      </w:r>
      <w:r>
        <w:t xml:space="preserve"> </w:t>
      </w:r>
      <w:r>
        <w:t xml:space="preserve">Ustne porozumienie z poprzednim najemcą nie wiąże obecnego właściciela, a zwłaszcza nie może zmienić pisemnych postanowień umowy z Klientem. Klauzule umowne wymagają formy pisemnej.</w:t>
      </w:r>
    </w:p>
    <w:p>
      <w:pPr>
        <w:pStyle w:val="Compact"/>
        <w:numPr>
          <w:ilvl w:val="0"/>
          <w:numId w:val="1015"/>
        </w:numPr>
      </w:pPr>
      <w:r>
        <w:rPr>
          <w:b/>
          <w:bCs/>
        </w:rPr>
        <w:t xml:space="preserve">“Poniesione nakłady”</w:t>
      </w:r>
      <w:r>
        <w:rPr>
          <w:b/>
          <w:bCs/>
        </w:rPr>
        <w:t xml:space="preserve">:</w:t>
      </w:r>
      <w:r>
        <w:t xml:space="preserve"> </w:t>
      </w:r>
      <w:r>
        <w:t xml:space="preserve">Najemczyni będzie żądała zwrotu kosztów ogrodzenia.</w:t>
      </w:r>
    </w:p>
    <w:p>
      <w:pPr>
        <w:pStyle w:val="Compact"/>
        <w:numPr>
          <w:ilvl w:val="1"/>
          <w:numId w:val="1018"/>
        </w:numPr>
      </w:pPr>
      <w:r>
        <w:rPr>
          <w:b/>
          <w:bCs/>
        </w:rPr>
        <w:t xml:space="preserve">Obalenie:</w:t>
      </w:r>
      <w:r>
        <w:t xml:space="preserve"> </w:t>
      </w:r>
      <w:r>
        <w:t xml:space="preserve">§ 3 ust. 2 umowy najmu [Źródło 1] jednoznacznie wyłącza zwrot nakładów bez pisemnej akceptacji Wynajmującego, której Najemczyni nie posiada.</w:t>
      </w:r>
    </w:p>
    <w:p>
      <w:pPr>
        <w:pStyle w:val="Compact"/>
        <w:numPr>
          <w:ilvl w:val="0"/>
          <w:numId w:val="1015"/>
        </w:numPr>
      </w:pPr>
      <w:r>
        <w:rPr>
          <w:b/>
          <w:bCs/>
        </w:rPr>
        <w:t xml:space="preserve">“Rzekoma nieprecyzyjność planu z umowy”</w:t>
      </w:r>
      <w:r>
        <w:rPr>
          <w:b/>
          <w:bCs/>
        </w:rPr>
        <w:t xml:space="preserve">:</w:t>
      </w:r>
      <w:r>
        <w:t xml:space="preserve"> </w:t>
      </w:r>
      <w:r>
        <w:t xml:space="preserve">Najemczyni może kwestionować dokładność Załącznika nr 1 do umowy.</w:t>
      </w:r>
    </w:p>
    <w:p>
      <w:pPr>
        <w:pStyle w:val="Compact"/>
        <w:numPr>
          <w:ilvl w:val="1"/>
          <w:numId w:val="1019"/>
        </w:numPr>
      </w:pPr>
      <w:r>
        <w:rPr>
          <w:b/>
          <w:bCs/>
        </w:rPr>
        <w:t xml:space="preserve">Obalenie:</w:t>
      </w:r>
      <w:r>
        <w:t xml:space="preserve"> </w:t>
      </w:r>
      <w:r>
        <w:t xml:space="preserve">Protokół pomiarowy i mapa geodezyjna z 02.10.2024 r. [Źródło 1] są profesjonalnym i obiektywnym dowodem. Potrzeba powołania biegłego geodety potwierdzi te ustalenia.</w:t>
      </w:r>
    </w:p>
    <w:p>
      <w:pPr>
        <w:pStyle w:val="Compact"/>
        <w:numPr>
          <w:ilvl w:val="0"/>
          <w:numId w:val="1015"/>
        </w:numPr>
      </w:pPr>
      <w:r>
        <w:rPr>
          <w:b/>
          <w:bCs/>
        </w:rPr>
        <w:t xml:space="preserve">“Zasiedzenie części działki”</w:t>
      </w:r>
      <w:r>
        <w:rPr>
          <w:b/>
          <w:bCs/>
        </w:rPr>
        <w:t xml:space="preserve">:</w:t>
      </w:r>
      <w:r>
        <w:t xml:space="preserve"> </w:t>
      </w:r>
      <w:r>
        <w:t xml:space="preserve">Najemczyni zapowiedziała roszczenia o zasiedzenie.</w:t>
      </w:r>
    </w:p>
    <w:p>
      <w:pPr>
        <w:pStyle w:val="Compact"/>
        <w:numPr>
          <w:ilvl w:val="1"/>
          <w:numId w:val="1020"/>
        </w:numPr>
      </w:pPr>
      <w:r>
        <w:rPr>
          <w:b/>
          <w:bCs/>
        </w:rPr>
        <w:t xml:space="preserve">Obalenie:</w:t>
      </w:r>
      <w:r>
        <w:t xml:space="preserve"> </w:t>
      </w:r>
      <w:r>
        <w:t xml:space="preserve">Data postawienia ogrodzenia (10.04.2024 r.) [Źródło 1] wyklucza spełnienie ustawowych przesłanek zasiedzenia (20 lub 30 lat). Posiadanie jest zbyt krótkie.</w:t>
      </w:r>
    </w:p>
    <w:bookmarkEnd w:id="23"/>
    <w:bookmarkStart w:id="24" w:name="rekomendowana-strategia"/>
    <w:p>
      <w:pPr>
        <w:pStyle w:val="Heading3"/>
      </w:pPr>
      <w:r>
        <w:t xml:space="preserve">Rekomendowana strategia</w:t>
      </w:r>
    </w:p>
    <w:p>
      <w:pPr>
        <w:pStyle w:val="Compact"/>
        <w:numPr>
          <w:ilvl w:val="0"/>
          <w:numId w:val="1021"/>
        </w:numPr>
      </w:pPr>
      <w:r>
        <w:rPr>
          <w:b/>
          <w:bCs/>
        </w:rPr>
        <w:t xml:space="preserve">Postępowanie przedsądowe (Wezwanie ostateczne):</w:t>
      </w:r>
    </w:p>
    <w:p>
      <w:pPr>
        <w:pStyle w:val="Compact"/>
        <w:numPr>
          <w:ilvl w:val="1"/>
          <w:numId w:val="1022"/>
        </w:numPr>
      </w:pPr>
      <w:r>
        <w:t xml:space="preserve">Z uwagi na stanowczą odmowę Najemczyni [Źródło 1], negocjacje mogą być nieskuteczne. Niemniej jednak, wysłanie formalnego, rozszerzonego wezwania przedsądowego jest</w:t>
      </w:r>
      <w:r>
        <w:t xml:space="preserve"> </w:t>
      </w:r>
      <w:r>
        <w:rPr>
          <w:b/>
          <w:bCs/>
        </w:rPr>
        <w:t xml:space="preserve">zalecane</w:t>
      </w:r>
      <w:r>
        <w:t xml:space="preserve">. Pozwoli to na udowodnienie próby polubownego rozwiązania sporu oraz na ustalenie terminu wymagalności roszczeń pieniężnych (np. odsetek) i ewentualnie przerwanie biegu przedawnienia (choć roszczenia są świeże).</w:t>
      </w:r>
    </w:p>
    <w:p>
      <w:pPr>
        <w:pStyle w:val="Compact"/>
        <w:numPr>
          <w:ilvl w:val="0"/>
          <w:numId w:val="1021"/>
        </w:numPr>
      </w:pPr>
      <w:r>
        <w:rPr>
          <w:b/>
          <w:bCs/>
        </w:rPr>
        <w:t xml:space="preserve">Postępowanie sądowe:</w:t>
      </w:r>
      <w:r>
        <w:t xml:space="preserve"> </w:t>
      </w:r>
      <w:r>
        <w:t xml:space="preserve">Jest</w:t>
      </w:r>
      <w:r>
        <w:t xml:space="preserve"> </w:t>
      </w:r>
      <w:r>
        <w:rPr>
          <w:b/>
          <w:bCs/>
        </w:rPr>
        <w:t xml:space="preserve">niezbędne</w:t>
      </w:r>
      <w:r>
        <w:t xml:space="preserve"> </w:t>
      </w:r>
      <w:r>
        <w:t xml:space="preserve">do ochrony praw Klienta.</w:t>
      </w:r>
    </w:p>
    <w:p>
      <w:pPr>
        <w:pStyle w:val="Compact"/>
        <w:numPr>
          <w:ilvl w:val="1"/>
          <w:numId w:val="1023"/>
        </w:numPr>
      </w:pPr>
      <w:r>
        <w:rPr>
          <w:b/>
          <w:bCs/>
        </w:rPr>
        <w:t xml:space="preserve">Organ geodezyjny vs. powództwo cywilne:</w:t>
      </w:r>
      <w:r>
        <w:t xml:space="preserve"> </w:t>
      </w:r>
      <w:r>
        <w:t xml:space="preserve">Z uwagi na to, że granice działki są już określone w ewidencji gruntów i budynków (co potwierdza mapa geodezyjna) [Źródło 1], a spór dotyczy przekroczenia tej granicy przez Najemczynię, właściwym trybem jest</w:t>
      </w:r>
      <w:r>
        <w:t xml:space="preserve"> </w:t>
      </w:r>
      <w:r>
        <w:rPr>
          <w:b/>
          <w:bCs/>
        </w:rPr>
        <w:t xml:space="preserve">powództwo cywilne o ochronę własności</w:t>
      </w:r>
      <w:r>
        <w:t xml:space="preserve"> </w:t>
      </w:r>
      <w:r>
        <w:t xml:space="preserve">(roszczenie negatoryjne) i nakazanie usunięcia urządzeń (ogrodzenia). Postępowanie o rozgraniczenie w trybie administracyjnym (art. 153 Kodeksu cywilnego, brak w dostarczonym bloku) jest właściwe w przypadku, gdy granice nieruchomości stały się sporne. W tej sprawie granice są znane, ale zostały naruszone. Sąd cywilny jest władny do rozstrzygnięcia, a w przypadku sporu o ustalenie przebiegu granicy, sąd wezwie właściwy organ do przeprowadzenia rozgraniczenia, jeśli uzna to za konieczne. Jednakże w tym przypadku, gdzie granica jest określona umownie i geodezyjnie, a problemem jest naruszenie własności, powództwo o ustalenie i nakazanie usunięcia jest bardziej adekwatne.</w:t>
      </w:r>
    </w:p>
    <w:p>
      <w:pPr>
        <w:pStyle w:val="Compact"/>
        <w:numPr>
          <w:ilvl w:val="1"/>
          <w:numId w:val="1023"/>
        </w:numPr>
      </w:pPr>
      <w:r>
        <w:rPr>
          <w:b/>
          <w:bCs/>
        </w:rPr>
        <w:t xml:space="preserve">Wniosek o zabezpieczenie:</w:t>
      </w:r>
      <w:r>
        <w:t xml:space="preserve"> </w:t>
      </w:r>
      <w:r>
        <w:rPr>
          <w:b/>
          <w:bCs/>
        </w:rPr>
        <w:t xml:space="preserve">Zalecane</w:t>
      </w:r>
      <w:r>
        <w:t xml:space="preserve"> </w:t>
      </w:r>
      <w:r>
        <w:t xml:space="preserve">jest złożenie wniosku o zabezpieczenie roszczenia wraz z pozwem lub przed nim.</w:t>
      </w:r>
    </w:p>
    <w:p>
      <w:pPr>
        <w:pStyle w:val="Compact"/>
        <w:numPr>
          <w:ilvl w:val="2"/>
          <w:numId w:val="1024"/>
        </w:numPr>
      </w:pPr>
      <w:r>
        <w:rPr>
          <w:b/>
          <w:bCs/>
        </w:rPr>
        <w:t xml:space="preserve">Spos*</w:t>
      </w:r>
      <w:r>
        <w:rPr>
          <w:b/>
          <w:bCs/>
        </w:rPr>
        <w:t xml:space="preserve"> </w:t>
      </w:r>
      <w:r>
        <w:t xml:space="preserve">Wniosek o zabezpieczenie:**</w:t>
      </w:r>
      <w:r>
        <w:t xml:space="preserve"> </w:t>
      </w:r>
      <w:r>
        <w:rPr>
          <w:b/>
          <w:bCs/>
        </w:rPr>
        <w:t xml:space="preserve">Zalecane</w:t>
      </w:r>
      <w:r>
        <w:t xml:space="preserve"> </w:t>
      </w:r>
      <w:r>
        <w:t xml:space="preserve">jest złożenie wniosku o zabezpieczenie roszczenia wraz z pozwem lub przed nim.</w:t>
      </w:r>
    </w:p>
    <w:p>
      <w:pPr>
        <w:pStyle w:val="Compact"/>
        <w:numPr>
          <w:ilvl w:val="1"/>
          <w:numId w:val="1023"/>
        </w:numPr>
      </w:pPr>
      <w:r>
        <w:rPr>
          <w:b/>
          <w:bCs/>
        </w:rPr>
        <w:t xml:space="preserve">Cel zabezpieczenia:</w:t>
      </w:r>
      <w:r>
        <w:t xml:space="preserve"> </w:t>
      </w:r>
      <w:r>
        <w:t xml:space="preserve">Zabezpieczenie roszczenia o usunięcie ogrodzenia i przywrócenie stanu poprzedniego. W orzecznictwie Sądy podkreślają znaczenie zabezpieczenia roszczenia, zwłaszcza gdy istnieje obawa, że brak zabezpieczenia uniemożliwi lub poważnie utrudni wykonanie orzeczenia [por. Kodeks postępowania cywilnego Art. 736 § 1 pkt 2].</w:t>
      </w:r>
    </w:p>
    <w:p>
      <w:pPr>
        <w:pStyle w:val="Compact"/>
        <w:numPr>
          <w:ilvl w:val="1"/>
          <w:numId w:val="1023"/>
        </w:numPr>
      </w:pPr>
      <w:r>
        <w:rPr>
          <w:b/>
          <w:bCs/>
        </w:rPr>
        <w:t xml:space="preserve">Proponowany sposób zabezpieczenia:</w:t>
      </w:r>
      <w:r>
        <w:t xml:space="preserve"> </w:t>
      </w:r>
      <w:r>
        <w:t xml:space="preserve">Zobowiązanie Najemczyni do niepodejmowania dalszych działań budowlanych na spornym pasie gruntu oraz do nieobciążania spornego pasa gruntu prawami osób trzecich. Można również rozważyć zabezpieczenie poprzez nakazanie wstrzymania wszelkich prac związanych z ogrodzeniem do czasu prawomocnego rozstrzygnięcia sprawy.</w:t>
      </w:r>
    </w:p>
    <w:p>
      <w:pPr>
        <w:pStyle w:val="Compact"/>
        <w:numPr>
          <w:ilvl w:val="1"/>
          <w:numId w:val="1023"/>
        </w:numPr>
      </w:pPr>
      <w:r>
        <w:rPr>
          <w:b/>
          <w:bCs/>
        </w:rPr>
        <w:t xml:space="preserve">Przesłanki zabezpieczenia:</w:t>
      </w:r>
    </w:p>
    <w:p>
      <w:pPr>
        <w:pStyle w:val="Compact"/>
        <w:numPr>
          <w:ilvl w:val="2"/>
          <w:numId w:val="1025"/>
        </w:numPr>
      </w:pPr>
      <w:r>
        <w:rPr>
          <w:b/>
          <w:bCs/>
        </w:rPr>
        <w:t xml:space="preserve">Uprawdopodobnienie roszczenia:</w:t>
      </w:r>
      <w:r>
        <w:t xml:space="preserve"> </w:t>
      </w:r>
      <w:r>
        <w:t xml:space="preserve">Na podstawie umowy najmu, planu sytuacyjnego oraz protokołu pomiarowego i mapy geodezyjnej [Źródło 1]. Argumenty Najemczyni (dobra wiara, zasiedzenie) są słabe i łatwe do obalenia, co zwiększa szanse na uprawdopodobnienie roszczenia.</w:t>
      </w:r>
    </w:p>
    <w:p>
      <w:pPr>
        <w:pStyle w:val="Compact"/>
        <w:numPr>
          <w:ilvl w:val="2"/>
          <w:numId w:val="1025"/>
        </w:numPr>
      </w:pPr>
      <w:r>
        <w:rPr>
          <w:b/>
          <w:bCs/>
        </w:rPr>
        <w:t xml:space="preserve">Interes prawny w udzieleniu zabezpieczenia:</w:t>
      </w:r>
      <w:r>
        <w:t xml:space="preserve"> </w:t>
      </w:r>
      <w:r>
        <w:t xml:space="preserve">Istnieje obawa, że brak zabezpieczenia może utrudnić lub uniemożliwić wykonanie orzeczenia, np. przez dalsze utrwalanie stanu bezprawnego (np. przez rozbudowę ogrodzenia, sprzedaż nieruchomości wraz z</w:t>
      </w:r>
      <w:r>
        <w:t xml:space="preserve"> </w:t>
      </w:r>
      <w:r>
        <w:t xml:space="preserve">“zasiedzianą”</w:t>
      </w:r>
      <w:r>
        <w:t xml:space="preserve"> </w:t>
      </w:r>
      <w:r>
        <w:t xml:space="preserve">częścią, która w rzeczywistości nie należy do Najemczyni). Uprawdopodobnienie interesu prawnego jest kluczowe, zgodnie z art. 730¹ Kodeksu postępowania cywilnego (brak w dostarczonym bloku).</w:t>
      </w:r>
    </w:p>
    <w:p>
      <w:pPr>
        <w:pStyle w:val="Compact"/>
        <w:numPr>
          <w:ilvl w:val="0"/>
          <w:numId w:val="1021"/>
        </w:numPr>
      </w:pPr>
      <w:r>
        <w:rPr>
          <w:b/>
          <w:bCs/>
        </w:rPr>
        <w:t xml:space="preserve">Kolejność pism i czynności dowodowych:</w:t>
      </w:r>
    </w:p>
    <w:p>
      <w:pPr>
        <w:pStyle w:val="Compact"/>
        <w:numPr>
          <w:ilvl w:val="1"/>
          <w:numId w:val="1026"/>
        </w:numPr>
      </w:pPr>
      <w:r>
        <w:rPr>
          <w:b/>
          <w:bCs/>
        </w:rPr>
        <w:t xml:space="preserve">1. Wezwanie przedsądowe:</w:t>
      </w:r>
      <w:r>
        <w:t xml:space="preserve"> </w:t>
      </w:r>
      <w:r>
        <w:t xml:space="preserve">Formalne wezwanie ostateczne do Najemczyni, z jasno określonym terminem na usunięcie ogrodzenia, przywrócenie stanu poprzedniego i zapłatę kosztów. W piśmie należy wskazać konsekwencje braku reakcji (wniesienie pozwu) [Źródło 1, Źródło 2].</w:t>
      </w:r>
    </w:p>
    <w:p>
      <w:pPr>
        <w:pStyle w:val="Compact"/>
        <w:numPr>
          <w:ilvl w:val="1"/>
          <w:numId w:val="1026"/>
        </w:numPr>
      </w:pPr>
      <w:r>
        <w:rPr>
          <w:b/>
          <w:bCs/>
        </w:rPr>
        <w:t xml:space="preserve">2. Pozew o ustalenie przebiegu granicy, nakazanie usunięcia ogrodzenia i zapłatę:</w:t>
      </w:r>
      <w:r>
        <w:t xml:space="preserve"> </w:t>
      </w:r>
      <w:r>
        <w:t xml:space="preserve">Wniesienie pozwu do właściwego sądu rejonowego (lub okręgowego w zależności od wartości przedmiotu sporu) wraz z wnioskiem o zabezpieczenie roszczeń. W pozwie należy szczegółowo przedstawić stan faktyczny, powołać wszystkie dowody (umowa, mapy, faktury, wezwania) oraz wnioski dowodowe (m.in. powołanie biegłego geodety). Zgodnie z art. 187 Kodeksu postępowania cywilnego, pozew powinien zawierać dokładnie określone żądanie oraz wskazanie faktów, na których powód opiera swoje żądanie [Kodeks postępowania cywilnego Art. 187]. W sprawach o prawa majątkowe należy również oznaczyć wartość przedmiotu sporu. W wyroku z 3 października 2013 r., sygn. akt I ACz 1679/13, Sąd Apelacyjny w Poznaniu oddalił zażalenie na zwrot pozwu, ponieważ powód nie sprecyzował wysokości kwoty dochodzonej pozwem i daty odsetek [Źródło 13]. W kontekście orzeczeń sądów powszechnych dotyczących zwrotu pozwu, należy dbać o formalną poprawność pisma, zgodnie z art. 126 Kodeksu postępowania cywilnego [Kodeks postępowania cywilnego Art. 126 § 1].</w:t>
      </w:r>
    </w:p>
    <w:p>
      <w:pPr>
        <w:pStyle w:val="Compact"/>
        <w:numPr>
          <w:ilvl w:val="1"/>
          <w:numId w:val="1026"/>
        </w:numPr>
      </w:pPr>
      <w:r>
        <w:rPr>
          <w:b/>
          <w:bCs/>
        </w:rPr>
        <w:t xml:space="preserve">3. Postępowanie dowodowe:</w:t>
      </w:r>
    </w:p>
    <w:p>
      <w:pPr>
        <w:pStyle w:val="Compact"/>
        <w:numPr>
          <w:ilvl w:val="2"/>
          <w:numId w:val="1027"/>
        </w:numPr>
      </w:pPr>
      <w:r>
        <w:rPr>
          <w:b/>
          <w:bCs/>
        </w:rPr>
        <w:t xml:space="preserve">Dowód z dokumentów:</w:t>
      </w:r>
      <w:r>
        <w:t xml:space="preserve"> </w:t>
      </w:r>
      <w:r>
        <w:t xml:space="preserve">Przedstawienie wszystkich zebranych dokumentów (umowa, plan, protokół, mapa, faktury, korespondencja).</w:t>
      </w:r>
    </w:p>
    <w:p>
      <w:pPr>
        <w:pStyle w:val="Compact"/>
        <w:numPr>
          <w:ilvl w:val="2"/>
          <w:numId w:val="1027"/>
        </w:numPr>
      </w:pPr>
      <w:r>
        <w:rPr>
          <w:b/>
          <w:bCs/>
        </w:rPr>
        <w:t xml:space="preserve">Dowód z przesłuchania świadków:</w:t>
      </w:r>
      <w:r>
        <w:t xml:space="preserve"> </w:t>
      </w:r>
      <w:r>
        <w:t xml:space="preserve">Jeśli są świadkowie mogący potwierdzić ustalenia, np. pracownicy G. Sp. z o.o., lub osoby, które były obecne przy negocjacjach warunków umowy, bądź montażu ogrodzenia.</w:t>
      </w:r>
    </w:p>
    <w:p>
      <w:pPr>
        <w:pStyle w:val="Compact"/>
        <w:numPr>
          <w:ilvl w:val="2"/>
          <w:numId w:val="1027"/>
        </w:numPr>
      </w:pPr>
      <w:r>
        <w:rPr>
          <w:b/>
          <w:bCs/>
        </w:rPr>
        <w:t xml:space="preserve">Dowód z oględzin:</w:t>
      </w:r>
      <w:r>
        <w:t xml:space="preserve"> </w:t>
      </w:r>
      <w:r>
        <w:t xml:space="preserve">Ewentualnie wniosek o przeprowadzenie oględzin spornej nieruchomości.</w:t>
      </w:r>
    </w:p>
    <w:p>
      <w:pPr>
        <w:pStyle w:val="Compact"/>
        <w:numPr>
          <w:ilvl w:val="2"/>
          <w:numId w:val="1027"/>
        </w:numPr>
      </w:pPr>
      <w:r>
        <w:rPr>
          <w:b/>
          <w:bCs/>
        </w:rPr>
        <w:t xml:space="preserve">Dowód z opinii biegłego geodety:</w:t>
      </w:r>
      <w:r>
        <w:t xml:space="preserve"> </w:t>
      </w:r>
      <w:r>
        <w:t xml:space="preserve">Kluczowy dowód do precyzyjnego ustalenia przebiegu granicy i potwierdzenia zajętej powierzchni. Zakres opinii powinien obejmować weryfikację prawidłowości sporządzonej mapy, ustalenie faktycznego przebiegu granic działek oraz określenie, czy ogrodzenie stoi na nieruchomości Klienta i w jakim zakresie ją zajmuje.</w:t>
      </w:r>
    </w:p>
    <w:p>
      <w:pPr>
        <w:pStyle w:val="Compact"/>
        <w:numPr>
          <w:ilvl w:val="2"/>
          <w:numId w:val="1027"/>
        </w:numPr>
      </w:pPr>
      <w:r>
        <w:rPr>
          <w:b/>
          <w:bCs/>
        </w:rPr>
        <w:t xml:space="preserve">Dowód z opinii biegłego rzeczoznawcy majątkowego:</w:t>
      </w:r>
      <w:r>
        <w:t xml:space="preserve"> </w:t>
      </w:r>
      <w:r>
        <w:t xml:space="preserve">W celu wyceny wartości bezumownego korzystania z zajętej powierzchni, jeśli Klient zdecyduje się na stawkę rynkową.</w:t>
      </w:r>
    </w:p>
    <w:p>
      <w:pPr>
        <w:pStyle w:val="Compact"/>
        <w:numPr>
          <w:ilvl w:val="1"/>
          <w:numId w:val="1026"/>
        </w:numPr>
      </w:pPr>
      <w:r>
        <w:rPr>
          <w:b/>
          <w:bCs/>
        </w:rPr>
        <w:t xml:space="preserve">4. Dalsze pisma procesowe:</w:t>
      </w:r>
      <w:r>
        <w:t xml:space="preserve"> </w:t>
      </w:r>
      <w:r>
        <w:t xml:space="preserve">Odpowiedzi na pisma Najemczyni, repliki, wnioski itp., w zależności od rozwoju postępowania.</w:t>
      </w:r>
    </w:p>
    <w:bookmarkEnd w:id="24"/>
    <w:bookmarkEnd w:id="25"/>
    <w:bookmarkStart w:id="26" w:name="instrukcja-kolejnych-kroków"/>
    <w:p>
      <w:pPr>
        <w:pStyle w:val="Heading2"/>
      </w:pPr>
      <w:r>
        <w:t xml:space="preserve">Instrukcja kolejnych kroków</w:t>
      </w:r>
    </w:p>
    <w:p>
      <w:pPr>
        <w:pStyle w:val="Compact"/>
        <w:numPr>
          <w:ilvl w:val="0"/>
          <w:numId w:val="1028"/>
        </w:numPr>
      </w:pPr>
      <w:r>
        <w:rPr>
          <w:b/>
          <w:bCs/>
        </w:rPr>
        <w:t xml:space="preserve">Analiza i weryfikacja danych:</w:t>
      </w:r>
      <w:r>
        <w:t xml:space="preserve"> </w:t>
      </w:r>
      <w:r>
        <w:t xml:space="preserve">Dokładna weryfikacja wszystkich dat, kwot i sygnatur zawartych w kazusie oraz zebranych dokumentach.</w:t>
      </w:r>
    </w:p>
    <w:p>
      <w:pPr>
        <w:pStyle w:val="Compact"/>
        <w:numPr>
          <w:ilvl w:val="0"/>
          <w:numId w:val="1028"/>
        </w:numPr>
      </w:pPr>
      <w:r>
        <w:rPr>
          <w:b/>
          <w:bCs/>
        </w:rPr>
        <w:t xml:space="preserve">Przygotowanie i wysłanie ostatecznego wezwania przedsądowego:</w:t>
      </w:r>
    </w:p>
    <w:p>
      <w:pPr>
        <w:pStyle w:val="Compact"/>
        <w:numPr>
          <w:ilvl w:val="1"/>
          <w:numId w:val="1029"/>
        </w:numPr>
      </w:pPr>
      <w:r>
        <w:t xml:space="preserve">Sporządzić wezwanie do usunięcia ogrodzenia, przywrócenia stanu poprzedniego i zapłaty kosztów demontażu i mapy geodezyjnej oraz odszkodowania za bezumowne korzystanie.</w:t>
      </w:r>
    </w:p>
    <w:p>
      <w:pPr>
        <w:pStyle w:val="Compact"/>
        <w:numPr>
          <w:ilvl w:val="1"/>
          <w:numId w:val="1029"/>
        </w:numPr>
      </w:pPr>
      <w:r>
        <w:t xml:space="preserve">Wyznaczyć krótki, lecz realny termin na wykonanie żądań (np. 7 dni od daty doręczenia).</w:t>
      </w:r>
    </w:p>
    <w:p>
      <w:pPr>
        <w:pStyle w:val="Compact"/>
        <w:numPr>
          <w:ilvl w:val="1"/>
          <w:numId w:val="1029"/>
        </w:numPr>
      </w:pPr>
      <w:r>
        <w:t xml:space="preserve">Pismo wysłać listem poleconym za zwrotnym potwierdzeniem odbioru, co będzie stanowiło dowód w postępowaniu sądowym.</w:t>
      </w:r>
    </w:p>
    <w:p>
      <w:pPr>
        <w:pStyle w:val="Compact"/>
        <w:numPr>
          <w:ilvl w:val="1"/>
          <w:numId w:val="1029"/>
        </w:numPr>
      </w:pPr>
      <w:r>
        <w:t xml:space="preserve">Zachować kopię wezwania i potwierdzenie nadania oraz odbioru.</w:t>
      </w:r>
    </w:p>
    <w:p>
      <w:pPr>
        <w:pStyle w:val="Compact"/>
        <w:numPr>
          <w:ilvl w:val="0"/>
          <w:numId w:val="1028"/>
        </w:numPr>
      </w:pPr>
      <w:r>
        <w:rPr>
          <w:b/>
          <w:bCs/>
        </w:rPr>
        <w:t xml:space="preserve">Zabezpieczenie dokumentacji:</w:t>
      </w:r>
    </w:p>
    <w:p>
      <w:pPr>
        <w:pStyle w:val="Compact"/>
        <w:numPr>
          <w:ilvl w:val="1"/>
          <w:numId w:val="1030"/>
        </w:numPr>
      </w:pPr>
      <w:r>
        <w:t xml:space="preserve">Upewnić się, że Klient posiada oryginały wszystkich kluczowych dokumentów: umowy najmu, Załącznika nr 1 (plan sytuacyjny), protokołu pomiarowego, mapy geodezyjnej, faktur (G., demontaż), wezwań i odpowiedzi Najemczyni.</w:t>
      </w:r>
    </w:p>
    <w:p>
      <w:pPr>
        <w:pStyle w:val="Compact"/>
        <w:numPr>
          <w:ilvl w:val="1"/>
          <w:numId w:val="1030"/>
        </w:numPr>
      </w:pPr>
      <w:r>
        <w:t xml:space="preserve">Zebrać dodatkową dokumentację fotograficzną (np. zdjęcia lotnicze, z drona, jeśli dostępne, pokazujące położenie ogrodzenia).</w:t>
      </w:r>
    </w:p>
    <w:p>
      <w:pPr>
        <w:pStyle w:val="Compact"/>
        <w:numPr>
          <w:ilvl w:val="0"/>
          <w:numId w:val="1028"/>
        </w:numPr>
      </w:pPr>
      <w:r>
        <w:rPr>
          <w:b/>
          <w:bCs/>
        </w:rPr>
        <w:t xml:space="preserve">Przygotowanie pozwu:</w:t>
      </w:r>
    </w:p>
    <w:p>
      <w:pPr>
        <w:pStyle w:val="Compact"/>
        <w:numPr>
          <w:ilvl w:val="1"/>
          <w:numId w:val="1031"/>
        </w:numPr>
      </w:pPr>
      <w:r>
        <w:t xml:space="preserve">W oparciu o zebrane dowody i analizę, sporządzić pozew o ustalenie przebiegu granicy, nakazanie usunięcia ogrodzenia i zapłatę (koszty demontażu, mapy, bezumowne korzystanie) wraz z odsetkami.</w:t>
      </w:r>
    </w:p>
    <w:p>
      <w:pPr>
        <w:pStyle w:val="Compact"/>
        <w:numPr>
          <w:ilvl w:val="1"/>
          <w:numId w:val="1031"/>
        </w:numPr>
      </w:pPr>
      <w:r>
        <w:t xml:space="preserve">W pozwie zawrzeć wniosek o powołanie biegłego geodety.</w:t>
      </w:r>
    </w:p>
    <w:p>
      <w:pPr>
        <w:pStyle w:val="Compact"/>
        <w:numPr>
          <w:ilvl w:val="1"/>
          <w:numId w:val="1031"/>
        </w:numPr>
      </w:pPr>
      <w:r>
        <w:t xml:space="preserve">Załączyć do pozwu wszystkie dokumenty (oryginały lub poświadczone za zgodność z oryginałem kopie).</w:t>
      </w:r>
    </w:p>
    <w:p>
      <w:pPr>
        <w:pStyle w:val="Compact"/>
        <w:numPr>
          <w:ilvl w:val="0"/>
          <w:numId w:val="1028"/>
        </w:numPr>
      </w:pPr>
      <w:r>
        <w:rPr>
          <w:b/>
          <w:bCs/>
        </w:rPr>
        <w:t xml:space="preserve">Przygotowanie wniosku o zabezpieczenie:</w:t>
      </w:r>
    </w:p>
    <w:p>
      <w:pPr>
        <w:pStyle w:val="Compact"/>
        <w:numPr>
          <w:ilvl w:val="1"/>
          <w:numId w:val="1032"/>
        </w:numPr>
      </w:pPr>
      <w:r>
        <w:t xml:space="preserve">Sporządzić wniosek o zabezpieczenie roszczenia, wskazując jako sposób zabezpieczenia zobowiązanie Najemczyni do niepodejmowania dalszych działań budowlanych na spornym pasie gruntu oraz do nieobciążania go prawami osób trzecich.</w:t>
      </w:r>
    </w:p>
    <w:p>
      <w:pPr>
        <w:pStyle w:val="Compact"/>
        <w:numPr>
          <w:ilvl w:val="1"/>
          <w:numId w:val="1032"/>
        </w:numPr>
      </w:pPr>
      <w:r>
        <w:t xml:space="preserve">Wniosek ten można złożyć wraz z pozwem lub przed nim.</w:t>
      </w:r>
    </w:p>
    <w:p>
      <w:pPr>
        <w:pStyle w:val="Compact"/>
        <w:numPr>
          <w:ilvl w:val="0"/>
          <w:numId w:val="1028"/>
        </w:numPr>
      </w:pPr>
      <w:r>
        <w:rPr>
          <w:b/>
          <w:bCs/>
        </w:rPr>
        <w:t xml:space="preserve">Terminy procesowe:</w:t>
      </w:r>
    </w:p>
    <w:p>
      <w:pPr>
        <w:pStyle w:val="Compact"/>
        <w:numPr>
          <w:ilvl w:val="1"/>
          <w:numId w:val="1033"/>
        </w:numPr>
      </w:pPr>
      <w:r>
        <w:t xml:space="preserve">Pozew i wniosek o zabezpieczenie należy złożyć niezwłocznie po upływie terminu wskazanego w wezwaniu przedsądowym, aby uniknąć ewentualnego utrwalenia stanu faktycznego przez Najemczynię.</w:t>
      </w:r>
    </w:p>
    <w:p>
      <w:pPr>
        <w:pStyle w:val="Compact"/>
        <w:numPr>
          <w:ilvl w:val="1"/>
          <w:numId w:val="1033"/>
        </w:numPr>
      </w:pPr>
      <w:r>
        <w:t xml:space="preserve">Monitorować wszelkie pisma sądowe i terminy na ich składanie.</w:t>
      </w:r>
    </w:p>
    <w:p>
      <w:pPr>
        <w:pStyle w:val="Compact"/>
        <w:numPr>
          <w:ilvl w:val="0"/>
          <w:numId w:val="1028"/>
        </w:numPr>
      </w:pPr>
      <w:r>
        <w:rPr>
          <w:b/>
          <w:bCs/>
        </w:rPr>
        <w:t xml:space="preserve">Zbadanie stanu majątkowego Najemczyni:</w:t>
      </w:r>
      <w:r>
        <w:t xml:space="preserve"> </w:t>
      </w:r>
      <w:r>
        <w:t xml:space="preserve">Jeśli Klient ma wątpliwości co do zdolności płatniczej Najemczyni, warto rozważyć uzyskanie informacji o jej majątku, aby ocenić realność egzekucji roszczeń pieniężnych.</w:t>
      </w:r>
    </w:p>
    <w:bookmarkEnd w:id="26"/>
    <w:bookmarkStart w:id="28" w:name="rekomendowane-pisma"/>
    <w:p>
      <w:pPr>
        <w:pStyle w:val="Heading2"/>
      </w:pPr>
      <w:r>
        <w:t xml:space="preserve">Rekomendowane pisma</w:t>
      </w:r>
    </w:p>
    <w:p>
      <w:pPr>
        <w:pStyle w:val="Compact"/>
        <w:numPr>
          <w:ilvl w:val="0"/>
          <w:numId w:val="1034"/>
        </w:numPr>
      </w:pPr>
      <w:r>
        <w:t xml:space="preserve">Opinia prawna dla Klienta</w:t>
      </w:r>
    </w:p>
    <w:p>
      <w:pPr>
        <w:pStyle w:val="Compact"/>
        <w:numPr>
          <w:ilvl w:val="0"/>
          <w:numId w:val="1034"/>
        </w:numPr>
      </w:pPr>
      <w:r>
        <w:t xml:space="preserve">Wezwanie przedsądowe (ostateczne)</w:t>
      </w:r>
    </w:p>
    <w:p>
      <w:pPr>
        <w:pStyle w:val="Compact"/>
        <w:numPr>
          <w:ilvl w:val="0"/>
          <w:numId w:val="1034"/>
        </w:numPr>
      </w:pPr>
      <w:r>
        <w:t xml:space="preserve">Pozew o ustalenie przebiegu granicy i nakazanie usunięcia ogrodzenia wraz z roszczeniami o zapłatę</w:t>
      </w:r>
    </w:p>
    <w:p>
      <w:pPr>
        <w:pStyle w:val="Compact"/>
        <w:numPr>
          <w:ilvl w:val="0"/>
          <w:numId w:val="1034"/>
        </w:numPr>
      </w:pPr>
      <w:r>
        <w:t xml:space="preserve">Wniosek o zabezpieczenie</w:t>
      </w:r>
    </w:p>
    <w:p>
      <w:pPr>
        <w:pStyle w:val="FirstParagraph"/>
      </w:pPr>
      <w:r>
        <w:t xml:space="preserve">[[PROPOSE_DOC: Opinia prawna dla Klienta]]</w:t>
      </w:r>
      <w:r>
        <w:t xml:space="preserve"> </w:t>
      </w:r>
      <w:r>
        <w:t xml:space="preserve">[[PROPOSE_DOC: Wezwanie przedsądowe (ostateczne)]]</w:t>
      </w:r>
      <w:r>
        <w:t xml:space="preserve"> </w:t>
      </w:r>
      <w:r>
        <w:t xml:space="preserve">[[PROPOSE_DOC: Pozew o ustalenie przebiegu granicy i nakazanie usunięcia ogrodzenia wraz z roszczeniami o zapłatę]]</w:t>
      </w:r>
      <w:r>
        <w:t xml:space="preserve"> </w:t>
      </w:r>
      <w:r>
        <w:t xml:space="preserve">[[PROPOSE_DOC: Wniosek o zabezpieczenie]]</w:t>
      </w:r>
    </w:p>
    <w:p>
      <w:r>
        <w:pict>
          <v:rect style="width:0;height:1.5pt" o:hralign="center" o:hrstd="t" o:hr="t"/>
        </w:pict>
      </w:r>
    </w:p>
    <w:bookmarkStart w:id="27" w:name="wykorzystane-źródła-i-orzeczenia"/>
    <w:p>
      <w:pPr>
        <w:pStyle w:val="Heading3"/>
      </w:pPr>
      <w:r>
        <w:t xml:space="preserve">Wykorzystane źródła i orzeczenia</w:t>
      </w:r>
    </w:p>
    <w:p>
      <w:pPr>
        <w:pStyle w:val="Compact"/>
        <w:numPr>
          <w:ilvl w:val="0"/>
          <w:numId w:val="1035"/>
        </w:numPr>
      </w:pPr>
      <w:r>
        <w:rPr>
          <w:b/>
          <w:bCs/>
        </w:rPr>
        <w:t xml:space="preserve">[attachment]</w:t>
      </w:r>
      <w:r>
        <w:t xml:space="preserve"> </w:t>
      </w:r>
      <w:r>
        <w:t xml:space="preserve">D1 · Streszczenie · Sprawa_LP051_plot-postawiony-w-zlym-miejscu-jak-ustalic-przebieg-granicy-i-dochodzi.md — *</w:t>
      </w:r>
      <w:r>
        <w:t xml:space="preserve"> </w:t>
      </w:r>
      <w:r>
        <w:rPr>
          <w:b/>
          <w:bCs/>
        </w:rPr>
        <w:t xml:space="preserve">Typ dokumentu:</w:t>
      </w:r>
      <w:r>
        <w:t xml:space="preserve"> </w:t>
      </w:r>
      <w:r>
        <w:t xml:space="preserve">Kazus prawny / Opis stanu faktycznego dla kancelarii prawnej.</w:t>
      </w:r>
    </w:p>
    <w:p>
      <w:pPr>
        <w:pStyle w:val="Compact"/>
        <w:numPr>
          <w:ilvl w:val="0"/>
          <w:numId w:val="1036"/>
        </w:numPr>
      </w:pPr>
      <w:r>
        <w:rPr>
          <w:b/>
          <w:bCs/>
        </w:rPr>
        <w:t xml:space="preserve">Sygnatura sprawy:</w:t>
      </w:r>
      <w:r>
        <w:t xml:space="preserve"> </w:t>
      </w:r>
      <w:r>
        <w:t xml:space="preserve">LP051.</w:t>
      </w:r>
    </w:p>
    <w:p>
      <w:pPr>
        <w:pStyle w:val="Compact"/>
        <w:numPr>
          <w:ilvl w:val="0"/>
          <w:numId w:val="1036"/>
        </w:numPr>
      </w:pPr>
      <w:r>
        <w:rPr>
          <w:b/>
          <w:bCs/>
        </w:rPr>
        <w:t xml:space="preserve">Data zdarzeń:</w:t>
      </w:r>
      <w:r>
        <w:t xml:space="preserve"> </w:t>
      </w:r>
      <w:r>
        <w:t xml:space="preserve">01.09.2020 – 20.11.2024 (data zlecenia kancelarii).</w:t>
      </w:r>
    </w:p>
    <w:p>
      <w:pPr>
        <w:pStyle w:val="Compact"/>
        <w:numPr>
          <w:ilvl w:val="0"/>
          <w:numId w:val="1036"/>
        </w:numPr>
      </w:pPr>
      <w:r>
        <w:rPr>
          <w:b/>
          <w:bCs/>
        </w:rPr>
        <w:t xml:space="preserve">Strony postępowania:</w:t>
      </w:r>
    </w:p>
    <w:p>
      <w:pPr>
        <w:pStyle w:val="Compact"/>
        <w:numPr>
          <w:ilvl w:val="1"/>
          <w:numId w:val="1037"/>
        </w:numPr>
      </w:pPr>
      <w:r>
        <w:t xml:space="preserve">Klient: Pan M. N. (Wynajmujący), właściciel działki nr ew. ██,</w:t>
      </w:r>
    </w:p>
    <w:p>
      <w:pPr>
        <w:pStyle w:val="Compact"/>
        <w:numPr>
          <w:ilvl w:val="0"/>
          <w:numId w:val="1038"/>
        </w:numPr>
      </w:pPr>
      <w:r>
        <w:rPr>
          <w:b/>
          <w:bCs/>
        </w:rPr>
        <w:t xml:space="preserve">[attachment]</w:t>
      </w:r>
      <w:r>
        <w:t xml:space="preserve"> </w:t>
      </w:r>
      <w:r>
        <w:t xml:space="preserve">D1 · Sprawa_LP051_plot-postawiony-w-zlym-miejscu-jak-ustalic-przebieg-granicy-i-dochodzi.md • fragment 6 — 5. Wyliczenie roszczenia i koszty:</w:t>
      </w:r>
    </w:p>
    <w:p>
      <w:pPr>
        <w:pStyle w:val="Compact"/>
        <w:numPr>
          <w:ilvl w:val="1"/>
          <w:numId w:val="1039"/>
        </w:numPr>
      </w:pPr>
      <w:r>
        <w:t xml:space="preserve">Przygotuj metodologię wyliczenia żądań pieniężnych, które Klient może żądać w pozwie: (i) koszty demontażu: 1 200,00 zł brutto (kwota podana przez Klienta), (ii) koszt mapy geodezyjnej: 3 600,00 zł brutto (faktura GM/████/50), (iii) odszkodowanie/zwrot warto</w:t>
      </w:r>
    </w:p>
    <w:p>
      <w:pPr>
        <w:pStyle w:val="Compact"/>
        <w:numPr>
          <w:ilvl w:val="0"/>
          <w:numId w:val="1038"/>
        </w:numPr>
      </w:pPr>
      <w:r>
        <w:rPr>
          <w:b/>
          <w:bCs/>
        </w:rPr>
        <w:t xml:space="preserve">[ruling]</w:t>
      </w:r>
      <w:r>
        <w:t xml:space="preserve"> </w:t>
      </w:r>
      <w:r>
        <w:t xml:space="preserve">I C 218/19 • 2019-12-23 • Sąd powszechny — Sygn. akt I C 218/19 UZASADNIENIE Pozwem z 30 listopada 2017 roku powód A. W. wniósł o zasądzenie od pozwanego (…) Bank S.A. w W. kwoty 21.992,50,- zł wraz z odsetkami ustawowymi za opóźnienie liczonymi od 2 listopada 2017 r. do dnia zapłaty oraz kosztów sądowych według norm przepisanych, w tym ko</w:t>
      </w:r>
    </w:p>
    <w:p>
      <w:pPr>
        <w:pStyle w:val="Compact"/>
        <w:numPr>
          <w:ilvl w:val="0"/>
          <w:numId w:val="1038"/>
        </w:numPr>
      </w:pPr>
      <w:r>
        <w:rPr>
          <w:b/>
          <w:bCs/>
        </w:rPr>
        <w:t xml:space="preserve">[ruling]</w:t>
      </w:r>
      <w:r>
        <w:t xml:space="preserve"> </w:t>
      </w:r>
      <w:r>
        <w:t xml:space="preserve">VI ACa 632/15 • 2016-05-12 • Sąd powszechny — Sygn. akt VI ACa 632/15 WYROK W IMIENIU RZECZYPOSPOLITEJ POLSKIEJ Dnia 12 maja 2016 r. Sąd Apelacyjny w Warszawie VI Wydział Cywilny w składzie: Przewodniczący – Sędzia SA E. S. (spr.) Sędziowie: SA M. S. SO del. M. K. Protokolant: K. Ł. po rozpoznaniu w dni</w:t>
      </w:r>
    </w:p>
    <w:p>
      <w:pPr>
        <w:pStyle w:val="Compact"/>
        <w:numPr>
          <w:ilvl w:val="0"/>
          <w:numId w:val="1038"/>
        </w:numPr>
      </w:pPr>
      <w:r>
        <w:rPr>
          <w:b/>
          <w:bCs/>
        </w:rPr>
        <w:t xml:space="preserve">[ruling]</w:t>
      </w:r>
      <w:r>
        <w:t xml:space="preserve"> </w:t>
      </w:r>
      <w:r>
        <w:t xml:space="preserve">I ACa 63/19 • 2019-07-19 • Sąd powszechny — Sygn. akt I ACa 63/19 WYROK W IMIENIU RZECZYPOSPOLITEJ POLSKIEJ Dnia 19 lipca 2019 r. Sąd Apelacyjny w Białymstoku I Wydział Cywilny w składzie: Przewodniczący : SSA B. S. Sędziowie : SA E. B. (spr.) SA E. B. Protokolant : I. Z. po rozpoznaniu w dniu 5 l</w:t>
      </w:r>
    </w:p>
    <w:p>
      <w:pPr>
        <w:pStyle w:val="Compact"/>
        <w:numPr>
          <w:ilvl w:val="0"/>
          <w:numId w:val="1038"/>
        </w:numPr>
      </w:pPr>
      <w:r>
        <w:rPr>
          <w:b/>
          <w:bCs/>
        </w:rPr>
        <w:t xml:space="preserve">[ruling]</w:t>
      </w:r>
      <w:r>
        <w:t xml:space="preserve"> </w:t>
      </w:r>
      <w:r>
        <w:t xml:space="preserve">I C 3559/17 • 2018-01-10 • Sąd powszechny — Sygn. akt I C 3559/17 upr. WYROK ZAOCZNY W IMIENIU RZECZYPOSPOLITEJ POLSKIEJ Data 13 listopada 2017 r. Sąd Rejonowy w Olsztynie, I Wydział Cywilny, w składzie: Przewodniczący: SSR J. S. po rozpoznaniu w dniu 13 listopada 2017 r., w O., na posiedzeniu niejawnym w trybie art. 341 kpc, spra</w:t>
      </w:r>
    </w:p>
    <w:p>
      <w:pPr>
        <w:pStyle w:val="Compact"/>
        <w:numPr>
          <w:ilvl w:val="0"/>
          <w:numId w:val="1038"/>
        </w:numPr>
      </w:pPr>
      <w:r>
        <w:rPr>
          <w:b/>
          <w:bCs/>
        </w:rPr>
        <w:t xml:space="preserve">[ruling]</w:t>
      </w:r>
      <w:r>
        <w:t xml:space="preserve"> </w:t>
      </w:r>
      <w:r>
        <w:t xml:space="preserve">II Ca 703/14 • 2014-11-18 • Sąd powszechny — Sygn. akt II Ca 703/14 WYROK W IMIENIU RZECZYPOSPOLITEJ POLSKIEJ Dnia 18 listopada 2014 r. Sąd Okręgowy w Świdnicy II Wydział Cywilny Odwoławczy w składzie następującym: Przewodniczący: SSO A. Ż. Protokolant: A. M. po rozpoznaniu w dniu 6 listopada 2014r. w Świdnicy na rozpr</w:t>
      </w:r>
    </w:p>
    <w:p>
      <w:pPr>
        <w:pStyle w:val="Compact"/>
        <w:numPr>
          <w:ilvl w:val="0"/>
          <w:numId w:val="1038"/>
        </w:numPr>
      </w:pPr>
      <w:r>
        <w:rPr>
          <w:b/>
          <w:bCs/>
        </w:rPr>
        <w:t xml:space="preserve">[ruling]</w:t>
      </w:r>
      <w:r>
        <w:t xml:space="preserve"> </w:t>
      </w:r>
      <w:r>
        <w:t xml:space="preserve">IV RC 257/25 • 2026-05-19 • Sąd powszechny — ========================================================================================================================</w:t>
      </w:r>
    </w:p>
    <w:p>
      <w:pPr>
        <w:pStyle w:val="Compact"/>
        <w:numPr>
          <w:ilvl w:val="0"/>
          <w:numId w:val="1038"/>
        </w:numPr>
      </w:pPr>
      <w:r>
        <w:rPr>
          <w:b/>
          <w:bCs/>
        </w:rPr>
        <w:t xml:space="preserve">[ruling]</w:t>
      </w:r>
      <w:r>
        <w:t xml:space="preserve"> </w:t>
      </w:r>
      <w:r>
        <w:t xml:space="preserve">I C 2041/17 • 2017-09-18 • Sąd powszechny — Sygn. akt I C 2041/17 ZARZĄDZENIE Na podstawie art. 1481 § 1 k.p.c. skierować sprawę na posiedzenie niejawne celem rozpoznania. Dnia 18 września 2017 roku SSR P. S.</w:t>
      </w:r>
    </w:p>
    <w:p>
      <w:pPr>
        <w:pStyle w:val="Compact"/>
        <w:numPr>
          <w:ilvl w:val="0"/>
          <w:numId w:val="1038"/>
        </w:numPr>
      </w:pPr>
      <w:r>
        <w:rPr>
          <w:b/>
          <w:bCs/>
        </w:rPr>
        <w:t xml:space="preserve">[ruling]</w:t>
      </w:r>
      <w:r>
        <w:t xml:space="preserve"> </w:t>
      </w:r>
      <w:r>
        <w:t xml:space="preserve">I C 1008/17 • 2017-08-08 • Sąd powszechny — Sygn. akt I C 1008/17 upr. WYROK ZAOCZNY W IMIENIU RZECZYPOSPOLITEJ POLSKIEJ Dnia 8 sierpnia 2017 r. Sąd Rejonowy w Olsztynie, I Wydział Cywilny, w składzie: Przewodniczący: SSR P. J. Protokolant: A. L. po rozpoznaniu w dniu 8 sierpnia 2017 r., w O., na rozprawie, sprawy z powództw</w:t>
      </w:r>
    </w:p>
    <w:p>
      <w:pPr>
        <w:pStyle w:val="Compact"/>
        <w:numPr>
          <w:ilvl w:val="0"/>
          <w:numId w:val="1038"/>
        </w:numPr>
      </w:pPr>
      <w:r>
        <w:rPr>
          <w:b/>
          <w:bCs/>
        </w:rPr>
        <w:t xml:space="preserve">[ruling]</w:t>
      </w:r>
      <w:r>
        <w:t xml:space="preserve"> </w:t>
      </w:r>
      <w:r>
        <w:t xml:space="preserve">I C 1769/17 • 2017-09-28 • Sąd powszechny — Sygn. akt I C 1769/17 WYROK ZAOCZNY W IMIENIU RZECZYPOSPOLITEJ POLSKIEJ Dnia 28 września 2017 r. Sąd Rejonowy w Olsztynie, I Wydział Cywilny, w składzie: Przewodniczący: SSR P. J. Protokolant: starszy sekretarz sądowy J. K. - Rogoż po rozpoznaniu w dniu 28 września 2017 r., w O.</w:t>
      </w:r>
    </w:p>
    <w:p>
      <w:pPr>
        <w:pStyle w:val="Compact"/>
        <w:numPr>
          <w:ilvl w:val="0"/>
          <w:numId w:val="1038"/>
        </w:numPr>
      </w:pPr>
      <w:r>
        <w:rPr>
          <w:b/>
          <w:bCs/>
        </w:rPr>
        <w:t xml:space="preserve">[ruling]</w:t>
      </w:r>
      <w:r>
        <w:t xml:space="preserve"> </w:t>
      </w:r>
      <w:r>
        <w:t xml:space="preserve">I C 1634/17 • 2017-10-03 • Sąd powszechny — Sygn. akt I C 1634/17 upr. WYROK ZAOCZNY W IMIENIU RZECZYPOSPOLITEJ POLSKIEJ Dnia 3 października 2017 r. Sąd Rejonowy w Olsztynie, I Wydział Cywilny, w składzie: Przewodniczący: SSR P. J. Protokolant: starszy sekretarz sądowy J. K. - Rogoż po rozpoznaniu w dniu 3 października 20</w:t>
      </w:r>
    </w:p>
    <w:p>
      <w:pPr>
        <w:pStyle w:val="Compact"/>
        <w:numPr>
          <w:ilvl w:val="0"/>
          <w:numId w:val="1038"/>
        </w:numPr>
      </w:pPr>
      <w:r>
        <w:rPr>
          <w:b/>
          <w:bCs/>
        </w:rPr>
        <w:t xml:space="preserve">[ruling]</w:t>
      </w:r>
      <w:r>
        <w:t xml:space="preserve"> </w:t>
      </w:r>
      <w:r>
        <w:t xml:space="preserve">VIII Gz 110/13 • 2013-11-19 • Sąd powszechny — Sygn. akt VIII Gz 110/13 POSTANOWIENIE Dnia 19 listopada 2013 r. Sąd Okręgowy w Bydgoszczy VIII Wydział Gospodarczy w następującym składzie: Przewodniczący SSO E. K. po rozpoznaniu w dniu 19 listopada 2013 r. w Bydgoszczy na posiedzeniu niejawnym sprawy z powództwa T. P. i A. R. przeciwko (.</w:t>
      </w:r>
    </w:p>
    <w:p>
      <w:pPr>
        <w:pStyle w:val="Compact"/>
        <w:numPr>
          <w:ilvl w:val="0"/>
          <w:numId w:val="1038"/>
        </w:numPr>
      </w:pPr>
      <w:r>
        <w:rPr>
          <w:b/>
          <w:bCs/>
        </w:rPr>
        <w:t xml:space="preserve">[ruling]</w:t>
      </w:r>
      <w:r>
        <w:t xml:space="preserve"> </w:t>
      </w:r>
      <w:r>
        <w:t xml:space="preserve">VI Ka 946/16 • 2016-11-04 • Sąd powszechny — Sygn. akt VI Ka 946/16 WYROK W IMIENIU RZECZYPOSPOLITEJ POLSKIEJ Dnia 4 listopada 2016 r. Sąd Okręgowy Warszawa-Praga w Warszawie VI Wydział Karny Odwoławczy w składzie : Przewodniczący: SSO A. W. (spr.) Sędziowie: SO A. M. SO S. M. protokolant:</w:t>
      </w:r>
    </w:p>
    <w:p>
      <w:pPr>
        <w:pStyle w:val="Compact"/>
        <w:numPr>
          <w:ilvl w:val="0"/>
          <w:numId w:val="1038"/>
        </w:numPr>
      </w:pPr>
      <w:r>
        <w:rPr>
          <w:b/>
          <w:bCs/>
        </w:rPr>
        <w:t xml:space="preserve">[ruling]</w:t>
      </w:r>
      <w:r>
        <w:t xml:space="preserve"> </w:t>
      </w:r>
      <w:r>
        <w:t xml:space="preserve">I ACz 1679/13 • 2013-10-03 • Sąd powszechny — Sygn. akt I Cz 1679/13 POSTANOWIENIE Dnia 3 października 2013r. Sąd Apelacyjny w Poznaniu Wydział I Cywilny w składzie następującym: Przewodniczący - Sędzia SA Mariola Głowacka (spr.) Sędziowie SA R. S. SA J. G. po rozpoznaniu na posiedzeniu niejawnym w dniu 3 października 2013r.</w:t>
      </w:r>
    </w:p>
    <w:p>
      <w:pPr>
        <w:pStyle w:val="Compact"/>
        <w:numPr>
          <w:ilvl w:val="0"/>
          <w:numId w:val="1038"/>
        </w:numPr>
      </w:pPr>
      <w:r>
        <w:rPr>
          <w:b/>
          <w:bCs/>
        </w:rPr>
        <w:t xml:space="preserve">[ruling]</w:t>
      </w:r>
      <w:r>
        <w:t xml:space="preserve"> </w:t>
      </w:r>
      <w:r>
        <w:t xml:space="preserve">I ACa 1723/24 • 2024-10-09 • Sąd powszechny — Sygn. akt I ACa 1723/24 WYROK W IMIENIU RZECZYPOSPOLITEJ POLSKIEJ Dnia 9 października 2024 r. Sąd Apelacyjny w Krakowie – I Wydział Cywilny w składzie: Przewodniczący: SSA J. W. Sędziowie: SSA R. J. SSA Z. D. Protokolant: J. G. po rozpoznaniu w dniu 9 października</w:t>
      </w:r>
    </w:p>
    <w:p>
      <w:pPr>
        <w:pStyle w:val="Compact"/>
        <w:numPr>
          <w:ilvl w:val="0"/>
          <w:numId w:val="1038"/>
        </w:numPr>
      </w:pPr>
      <w:r>
        <w:rPr>
          <w:b/>
          <w:bCs/>
        </w:rPr>
        <w:t xml:space="preserve">[ruling]</w:t>
      </w:r>
      <w:r>
        <w:t xml:space="preserve"> </w:t>
      </w:r>
      <w:r>
        <w:t xml:space="preserve">I ACa 117/17 • 2017-07-20 • Sąd powszechny — Sygn. akt I ACa 117/17 WYROK W IMIENIU RZECZYPOSPOLITEJ POLSKIEJ Dnia 20 lipca 2017 r. Sąd Apelacyjny w Białymstoku I Wydział Cywilny w składzie: Przewodniczący : SSA Jarosław M. K. Sędziowie : SSA J. C. (spr.) SSO del. M. M. - Bednarz Protokolant : Ł. P. po</w:t>
      </w:r>
    </w:p>
    <w:p>
      <w:pPr>
        <w:pStyle w:val="Compact"/>
        <w:numPr>
          <w:ilvl w:val="0"/>
          <w:numId w:val="1038"/>
        </w:numPr>
      </w:pPr>
      <w:r>
        <w:rPr>
          <w:b/>
          <w:bCs/>
        </w:rPr>
        <w:t xml:space="preserve">[ruling]</w:t>
      </w:r>
      <w:r>
        <w:t xml:space="preserve"> </w:t>
      </w:r>
      <w:r>
        <w:t xml:space="preserve">I ACz 490/14 • 2014-04-09 • Sąd powszechny — Sygn. akt : I ACz 490/14 POSTANOWIENIE Dnia 9 kwietnia 2014r Sąd Apelacyjny w Krakowie Wydział I Cywilny w składzie : Przewodniczący : SSA G. K. po rozpoznaniu w dniu 9 kwietnia 2014r w Krakowie na posiedzeniu niejawnym sprawy z powództwa B. K. iS. K. przeciwko T. K. o zapłatę na skutek</w:t>
      </w:r>
    </w:p>
    <w:p>
      <w:pPr>
        <w:pStyle w:val="Compact"/>
        <w:numPr>
          <w:ilvl w:val="0"/>
          <w:numId w:val="1038"/>
        </w:numPr>
      </w:pPr>
      <w:r>
        <w:rPr>
          <w:b/>
          <w:bCs/>
        </w:rPr>
        <w:t xml:space="preserve">[ruling]</w:t>
      </w:r>
      <w:r>
        <w:t xml:space="preserve"> </w:t>
      </w:r>
      <w:r>
        <w:t xml:space="preserve">I ACz 900/14 • 2014-06-12 • Sąd powszechny — POSTANOWIENIE Dnia 12 czerwca 2014 r. Sąd Apelacyjny w Poznaniu, Wydział I Cywilny w następującym składzie: Przewodniczący: SSA J. G. po rozpoznaniu na posiedzeniu niejawnym w dniu 12 czerwca 2014 r. sprawy z powództwa Z. C. przeciwko (…) sp. z o.o. w K. o zapłatę na skutek zażalenia powod</w:t>
      </w:r>
    </w:p>
    <w:p>
      <w:pPr>
        <w:pStyle w:val="Compact"/>
        <w:numPr>
          <w:ilvl w:val="0"/>
          <w:numId w:val="1038"/>
        </w:numPr>
      </w:pPr>
      <w:r>
        <w:rPr>
          <w:b/>
          <w:bCs/>
        </w:rPr>
        <w:t xml:space="preserve">[ruling]</w:t>
      </w:r>
      <w:r>
        <w:t xml:space="preserve"> </w:t>
      </w:r>
      <w:r>
        <w:t xml:space="preserve">I ACz 2185/13 • 2013-12-30 • Sąd powszechny — I A Cz 2185/13 POSTANOWIENIE Dnia 30 grudnia 2013 r. Sąd Apelacyjny w Poznaniu Wydział I Cywilny w składzie następującym: Przewodniczący: SSA J. F. (spr.) po rozpoznaniu dnia 30 grudnia 2013 r. na posiedzeniu niejawnym sprawy z powództwa J. K. przeciwko (…) spółka z ograniczoną odpowiedzialnoś</w:t>
      </w:r>
    </w:p>
    <w:p>
      <w:pPr>
        <w:pStyle w:val="Compact"/>
        <w:numPr>
          <w:ilvl w:val="0"/>
          <w:numId w:val="1038"/>
        </w:numPr>
      </w:pPr>
      <w:r>
        <w:rPr>
          <w:b/>
          <w:bCs/>
        </w:rPr>
        <w:t xml:space="preserve">[ruling]</w:t>
      </w:r>
      <w:r>
        <w:t xml:space="preserve"> </w:t>
      </w:r>
      <w:r>
        <w:t xml:space="preserve">VI Ka 388/16 • 2016-06-17 • Sąd powszechny — Sygn. akt VI Ka 388/16 WYROK W IMIENIU RZECZYPOSPOLITEJ POLSKIEJ Dnia 17 czerwca 2016 r. Sąd Okręgowy Warszawa-Praga w Warszawie VI Wydział Karny Odwoławczy w składzie : Przewodnicząca: SSO A. J. - Bocian Protokolant asystent sędziego Martyna Rokicka po rozpoznaniu dnia 17 czerwca 2016 r. w</w:t>
      </w:r>
    </w:p>
    <w:bookmarkEnd w:id="27"/>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2026-10-05T13:29:42Z</dcterms:created>
  <dcterms:modified xsi:type="dcterms:W3CDTF">2026-10-05T13:29:42Z</dcterms:modified>
</cp:coreProperties>
</file>

<file path=docProps/custom.xml><?xml version="1.0" encoding="utf-8"?>
<Properties xmlns="http://schemas.openxmlformats.org/officeDocument/2006/custom-properties" xmlns:vt="http://schemas.openxmlformats.org/officeDocument/2006/docPropsVTypes"/>
</file>