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sprawa-058-rozwiązanie-casebox"/>
    <w:p>
      <w:pPr>
        <w:pStyle w:val="Heading1"/>
      </w:pPr>
      <w:r>
        <w:t xml:space="preserve">Sprawa 058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W odpowiedzi na zlecenie przedstawiamy kompleksowe rozwiązanie sprawy M. K., zgodnie z Państwa wytycznymi.</w:t>
      </w:r>
    </w:p>
    <w:bookmarkEnd w:id="9"/>
    <w:bookmarkStart w:id="10" w:name="podsumowanie-sprawy"/>
    <w:p>
      <w:pPr>
        <w:pStyle w:val="Heading2"/>
      </w:pPr>
      <w:r>
        <w:t xml:space="preserve">Podsumowanie sprawy</w:t>
      </w:r>
    </w:p>
    <w:p>
      <w:pPr>
        <w:pStyle w:val="FirstParagraph"/>
      </w:pPr>
      <w:r>
        <w:t xml:space="preserve">Niniejsza sprawa dotyczy M. K. (Nabywcy), który zawarł umowę deweloperską nr D-████/███ z Deweloperem, spółką</w:t>
      </w:r>
      <w:r>
        <w:t xml:space="preserve"> </w:t>
      </w:r>
      <w:r>
        <w:t xml:space="preserve">“D. sp. z o.o.”</w:t>
      </w:r>
      <w:r>
        <w:t xml:space="preserve"> </w:t>
      </w:r>
      <w:r>
        <w:t xml:space="preserve">Sp. z o.o., na zakup lokalu mieszkalnego B██/██ o powierzchni 56,80 m2 w inwestycji</w:t>
      </w:r>
      <w:r>
        <w:t xml:space="preserve"> </w:t>
      </w:r>
      <w:r>
        <w:t xml:space="preserve">“OSIEDLE WIOSENNE”</w:t>
      </w:r>
      <w:r>
        <w:t xml:space="preserve"> </w:t>
      </w:r>
      <w:r>
        <w:t xml:space="preserve">za cenę 620 000,00 zł brutto [Źródło 1]. Pan M. K. wpłacił Deweloperowi łącznie 310 000,00 zł, przy czym wpłaty dokonano na zwykły rachunek bankowy, a nie na rachunek powierniczy, oraz nie dokonano wpisu w księdze wieczystej [Źródło 1]. Pierwotny termin przekazania lokalu (01.12.2024 r.) został przesunięty przez Dewelopera aneksem nr 1 (propozycja z 15.01.2025 r.) na 01.07.2025 r., wraz z podwyżką ceny o 5% [Źródło 1]. Pan M. K. odmówił akceptacji aneksu, a Deweloper jednostronnie wypowiedział umowę, powołując się na brak akceptacji zmian, i zażądał zapłaty kary umownej w wysokości 10% ceny brutto (62 000,00 zł) oraz kosztów administracyjnych (5 000,00 zł), zapowiadając potrącenie tych kwot z wpłaconych środków [Źródło 1]. Celem klienta jest ustalenie nieważności/bezskuteczności wypowiedzenia, utrzymanie umowy w mocy lub zwrot wpłaconych środków wraz z odsetkami i odszkodowaniem, a także zabezpieczenie roszczeń [Źródło 1].</w:t>
      </w:r>
    </w:p>
    <w:bookmarkEnd w:id="10"/>
    <w:bookmarkStart w:id="11" w:name="kluczowe-dane"/>
    <w:p>
      <w:pPr>
        <w:pStyle w:val="Heading2"/>
      </w:pPr>
      <w:r>
        <w:t xml:space="preserve">Kluczowe dane</w:t>
      </w:r>
    </w:p>
    <w:p>
      <w:pPr>
        <w:pStyle w:val="Compact"/>
        <w:numPr>
          <w:ilvl w:val="0"/>
          <w:numId w:val="1001"/>
        </w:numPr>
      </w:pPr>
      <w:r>
        <w:rPr>
          <w:b/>
          <w:bCs/>
        </w:rPr>
        <w:t xml:space="preserve">Nabywca/Klient:</w:t>
      </w:r>
      <w:r>
        <w:t xml:space="preserve"> </w:t>
      </w:r>
      <w:r>
        <w:t xml:space="preserve">M. K., PESEL ███████████ [Źródło 1].</w:t>
      </w:r>
    </w:p>
    <w:p>
      <w:pPr>
        <w:pStyle w:val="Compact"/>
        <w:numPr>
          <w:ilvl w:val="0"/>
          <w:numId w:val="1001"/>
        </w:numPr>
      </w:pPr>
      <w:r>
        <w:rPr>
          <w:b/>
          <w:bCs/>
        </w:rPr>
        <w:t xml:space="preserve">Deweloper/Strona przeciwna:</w:t>
      </w:r>
      <w:r>
        <w:t xml:space="preserve"> </w:t>
      </w:r>
      <w:r>
        <w:t xml:space="preserve">D. sp. z o.o., KRS ██████████, reprezentowana przez Prezesa Zarządu Annę Zielińską [Źródło 1].</w:t>
      </w:r>
    </w:p>
    <w:p>
      <w:pPr>
        <w:pStyle w:val="Compact"/>
        <w:numPr>
          <w:ilvl w:val="0"/>
          <w:numId w:val="1001"/>
        </w:numPr>
      </w:pPr>
      <w:r>
        <w:rPr>
          <w:b/>
          <w:bCs/>
        </w:rPr>
        <w:t xml:space="preserve">Główna umowa:</w:t>
      </w:r>
      <w:r>
        <w:t xml:space="preserve"> </w:t>
      </w:r>
      <w:r>
        <w:t xml:space="preserve">Umowa deweloperska nr D-████/███, zawarta 20 marca 2024 r. [Źródło 1].</w:t>
      </w:r>
    </w:p>
    <w:p>
      <w:pPr>
        <w:pStyle w:val="Compact"/>
        <w:numPr>
          <w:ilvl w:val="0"/>
          <w:numId w:val="1001"/>
        </w:numPr>
      </w:pPr>
      <w:r>
        <w:rPr>
          <w:b/>
          <w:bCs/>
        </w:rPr>
        <w:t xml:space="preserve">Lokal mieszkalny:</w:t>
      </w:r>
      <w:r>
        <w:t xml:space="preserve"> </w:t>
      </w:r>
      <w:r>
        <w:t xml:space="preserve">B██/██, powierzchnia 56,80 m2, w projekcie</w:t>
      </w:r>
      <w:r>
        <w:t xml:space="preserve"> </w:t>
      </w:r>
      <w:r>
        <w:t xml:space="preserve">“OSIEDLE WIOSENNE”</w:t>
      </w:r>
      <w:r>
        <w:t xml:space="preserve"> </w:t>
      </w:r>
      <w:r>
        <w:t xml:space="preserve">[Źródło 1].</w:t>
      </w:r>
    </w:p>
    <w:p>
      <w:pPr>
        <w:pStyle w:val="Compact"/>
        <w:numPr>
          <w:ilvl w:val="0"/>
          <w:numId w:val="1001"/>
        </w:numPr>
      </w:pPr>
      <w:r>
        <w:rPr>
          <w:b/>
          <w:bCs/>
        </w:rPr>
        <w:t xml:space="preserve">Cena lokalu:</w:t>
      </w:r>
      <w:r>
        <w:t xml:space="preserve"> </w:t>
      </w:r>
      <w:r>
        <w:t xml:space="preserve">620 000,00 zł brutto (pierwotna) [Źródło 1].</w:t>
      </w:r>
    </w:p>
    <w:p>
      <w:pPr>
        <w:pStyle w:val="Compact"/>
        <w:numPr>
          <w:ilvl w:val="0"/>
          <w:numId w:val="1001"/>
        </w:numPr>
      </w:pPr>
      <w:r>
        <w:rPr>
          <w:b/>
          <w:bCs/>
        </w:rPr>
        <w:t xml:space="preserve">Wpłaty klienta:</w:t>
      </w:r>
    </w:p>
    <w:p>
      <w:pPr>
        <w:pStyle w:val="Compact"/>
        <w:numPr>
          <w:ilvl w:val="1"/>
          <w:numId w:val="1002"/>
        </w:numPr>
      </w:pPr>
      <w:r>
        <w:t xml:space="preserve">62 000,00 zł (zadatek) – 22.03.2024 r. [Źródło 1].</w:t>
      </w:r>
    </w:p>
    <w:p>
      <w:pPr>
        <w:pStyle w:val="Compact"/>
        <w:numPr>
          <w:ilvl w:val="1"/>
          <w:numId w:val="1002"/>
        </w:numPr>
      </w:pPr>
      <w:r>
        <w:t xml:space="preserve">248 000,00 zł (II transza) – 15.02.2025 r. [Źródło 1].</w:t>
      </w:r>
    </w:p>
    <w:p>
      <w:pPr>
        <w:pStyle w:val="Compact"/>
        <w:numPr>
          <w:ilvl w:val="1"/>
          <w:numId w:val="1002"/>
        </w:numPr>
      </w:pPr>
      <w:r>
        <w:t xml:space="preserve">Łączna kwota wpłat: 310 000,00 zł [Źródło 1].</w:t>
      </w:r>
    </w:p>
    <w:p>
      <w:pPr>
        <w:pStyle w:val="Compact"/>
        <w:numPr>
          <w:ilvl w:val="0"/>
          <w:numId w:val="1001"/>
        </w:numPr>
      </w:pPr>
      <w:r>
        <w:rPr>
          <w:b/>
          <w:bCs/>
        </w:rPr>
        <w:t xml:space="preserve">Rachunek płatności:</w:t>
      </w:r>
      <w:r>
        <w:t xml:space="preserve"> </w:t>
      </w:r>
      <w:r>
        <w:t xml:space="preserve">Zwykły rachunek dewelopera (brak rachunku powierniczego) [Źródło 1].</w:t>
      </w:r>
    </w:p>
    <w:p>
      <w:pPr>
        <w:pStyle w:val="Compact"/>
        <w:numPr>
          <w:ilvl w:val="0"/>
          <w:numId w:val="1001"/>
        </w:numPr>
      </w:pPr>
      <w:r>
        <w:rPr>
          <w:b/>
          <w:bCs/>
        </w:rPr>
        <w:t xml:space="preserve">Pierwotny termin przekazania:</w:t>
      </w:r>
      <w:r>
        <w:t xml:space="preserve"> </w:t>
      </w:r>
      <w:r>
        <w:t xml:space="preserve">01.12.2024 r. (§5 ust. 1 Umowy) [Źródło 1].</w:t>
      </w:r>
    </w:p>
    <w:p>
      <w:pPr>
        <w:pStyle w:val="Compact"/>
        <w:numPr>
          <w:ilvl w:val="0"/>
          <w:numId w:val="1001"/>
        </w:numPr>
      </w:pPr>
      <w:r>
        <w:rPr>
          <w:b/>
          <w:bCs/>
        </w:rPr>
        <w:t xml:space="preserve">Propozycja aneksu nr 1:</w:t>
      </w:r>
      <w:r>
        <w:t xml:space="preserve"> </w:t>
      </w:r>
      <w:r>
        <w:t xml:space="preserve">15.01.2025 r. [Źródło 1].</w:t>
      </w:r>
    </w:p>
    <w:p>
      <w:pPr>
        <w:pStyle w:val="Compact"/>
        <w:numPr>
          <w:ilvl w:val="1"/>
          <w:numId w:val="1003"/>
        </w:numPr>
      </w:pPr>
      <w:r>
        <w:t xml:space="preserve">Nowy termin przekazania: 01.07.2025 r. [Źródło 1].</w:t>
      </w:r>
    </w:p>
    <w:p>
      <w:pPr>
        <w:pStyle w:val="Compact"/>
        <w:numPr>
          <w:ilvl w:val="1"/>
          <w:numId w:val="1003"/>
        </w:numPr>
      </w:pPr>
      <w:r>
        <w:t xml:space="preserve">Podwyżka ceny o 5% (do 651 000,00 zł brutto) [Źródło 1].</w:t>
      </w:r>
    </w:p>
    <w:p>
      <w:pPr>
        <w:pStyle w:val="Compact"/>
        <w:numPr>
          <w:ilvl w:val="0"/>
          <w:numId w:val="1001"/>
        </w:numPr>
      </w:pPr>
      <w:r>
        <w:rPr>
          <w:b/>
          <w:bCs/>
        </w:rPr>
        <w:t xml:space="preserve">Odmowa akceptacji aneksu przez klienta:</w:t>
      </w:r>
      <w:r>
        <w:t xml:space="preserve"> </w:t>
      </w:r>
      <w:r>
        <w:t xml:space="preserve">20.01.2025 r. [Źródło 1].</w:t>
      </w:r>
    </w:p>
    <w:p>
      <w:pPr>
        <w:pStyle w:val="Compact"/>
        <w:numPr>
          <w:ilvl w:val="0"/>
          <w:numId w:val="1001"/>
        </w:numPr>
      </w:pPr>
      <w:r>
        <w:rPr>
          <w:b/>
          <w:bCs/>
        </w:rPr>
        <w:t xml:space="preserve">Wstrzymanie prac budowlanych:</w:t>
      </w:r>
      <w:r>
        <w:t xml:space="preserve"> </w:t>
      </w:r>
      <w:r>
        <w:t xml:space="preserve">01.03.2025 r. [Źródło 1].</w:t>
      </w:r>
    </w:p>
    <w:p>
      <w:pPr>
        <w:pStyle w:val="Compact"/>
        <w:numPr>
          <w:ilvl w:val="0"/>
          <w:numId w:val="1001"/>
        </w:numPr>
      </w:pPr>
      <w:r>
        <w:rPr>
          <w:b/>
          <w:bCs/>
        </w:rPr>
        <w:t xml:space="preserve">Oświadczenie dewelopera o wypowiedzeniu umowy:</w:t>
      </w:r>
      <w:r>
        <w:t xml:space="preserve"> </w:t>
      </w:r>
      <w:r>
        <w:t xml:space="preserve">Datowane 28.02.2025 r., doręczone 01.03.2025 r. [Źródło 1].</w:t>
      </w:r>
    </w:p>
    <w:p>
      <w:pPr>
        <w:pStyle w:val="Compact"/>
        <w:numPr>
          <w:ilvl w:val="0"/>
          <w:numId w:val="1001"/>
        </w:numPr>
      </w:pPr>
      <w:r>
        <w:rPr>
          <w:b/>
          <w:bCs/>
        </w:rPr>
        <w:t xml:space="preserve">Roszczenia dewelopera:</w:t>
      </w:r>
    </w:p>
    <w:p>
      <w:pPr>
        <w:pStyle w:val="Compact"/>
        <w:numPr>
          <w:ilvl w:val="1"/>
          <w:numId w:val="1004"/>
        </w:numPr>
      </w:pPr>
      <w:r>
        <w:t xml:space="preserve">Kara umowna: 10% ceny brutto (62 000,00 zł) [Źródło 1].</w:t>
      </w:r>
    </w:p>
    <w:p>
      <w:pPr>
        <w:pStyle w:val="Compact"/>
        <w:numPr>
          <w:ilvl w:val="1"/>
          <w:numId w:val="1004"/>
        </w:numPr>
      </w:pPr>
      <w:r>
        <w:t xml:space="preserve">Koszty administracyjne: 5 000,00 zł [Źródło 1].</w:t>
      </w:r>
    </w:p>
    <w:p>
      <w:pPr>
        <w:pStyle w:val="Compact"/>
        <w:numPr>
          <w:ilvl w:val="1"/>
          <w:numId w:val="1004"/>
        </w:numPr>
      </w:pPr>
      <w:r>
        <w:t xml:space="preserve">Łącznie: 67 000,00 zł [Źródło 1].</w:t>
      </w:r>
    </w:p>
    <w:bookmarkEnd w:id="11"/>
    <w:bookmarkStart w:id="12" w:name="żądania-i-twierdzenia-stron"/>
    <w:p>
      <w:pPr>
        <w:pStyle w:val="Heading2"/>
      </w:pPr>
      <w:r>
        <w:t xml:space="preserve">Żądania i twierdzenia stron</w:t>
      </w:r>
    </w:p>
    <w:p>
      <w:pPr>
        <w:pStyle w:val="FirstParagraph"/>
      </w:pPr>
      <w:r>
        <w:rPr>
          <w:b/>
          <w:bCs/>
        </w:rPr>
        <w:t xml:space="preserve">Żądania M. K. (Nabywcy):</w:t>
      </w:r>
      <w:r>
        <w:t xml:space="preserve"> </w:t>
      </w:r>
      <w:r>
        <w:t xml:space="preserve">1. Ustalenie nieważności lub bezskuteczności jednostronnego wypowiedzenia umowy przez dewelopera [Źródło 1].</w:t>
      </w:r>
      <w:r>
        <w:t xml:space="preserve"> </w:t>
      </w:r>
      <w:r>
        <w:t xml:space="preserve">2. Żądanie utrzymania umowy w pierwotnym brzmieniu i dokończenia inwestycji, w tym przeniesienia własności lokalu [Źródło 1].</w:t>
      </w:r>
      <w:r>
        <w:t xml:space="preserve"> </w:t>
      </w:r>
      <w:r>
        <w:t xml:space="preserve">3. Alternatywnie, w przypadku utrzymania rozwiązania umowy, żądanie zwrotu wszystkich wpłaconych środków (310 000,00 zł) bez potrąceń, wraz z odsetkami ustawowymi od dat wpłat oraz naprawienia szkody (w tym kosztów zastępstwa procesowego) [Źródło 1].</w:t>
      </w:r>
      <w:r>
        <w:t xml:space="preserve"> </w:t>
      </w:r>
      <w:r>
        <w:t xml:space="preserve">4. Rozważenie roszczeń odszkodowawczych z tytułu nienależytego zabezpieczenia środków (brak rachunku powierniczego) [Źródło 1].</w:t>
      </w:r>
      <w:r>
        <w:t xml:space="preserve"> </w:t>
      </w:r>
      <w:r>
        <w:t xml:space="preserve">5. Żądanie ustanowienia zabezpieczenia wykonania obowiązków przez dewelopera [Źródło 1].</w:t>
      </w:r>
    </w:p>
    <w:p>
      <w:pPr>
        <w:pStyle w:val="BodyText"/>
      </w:pPr>
      <w:r>
        <w:rPr>
          <w:b/>
          <w:bCs/>
        </w:rPr>
        <w:t xml:space="preserve">Twierdzenia Dewelopera</w:t>
      </w:r>
      <w:r>
        <w:rPr>
          <w:b/>
          <w:bCs/>
        </w:rPr>
        <w:t xml:space="preserve"> </w:t>
      </w:r>
      <w:r>
        <w:rPr>
          <w:b/>
          <w:bCs/>
        </w:rPr>
        <w:t xml:space="preserve">“D. sp. z o.o.”</w:t>
      </w:r>
      <w:r>
        <w:rPr>
          <w:b/>
          <w:bCs/>
        </w:rPr>
        <w:t xml:space="preserve"> </w:t>
      </w:r>
      <w:r>
        <w:rPr>
          <w:b/>
          <w:bCs/>
        </w:rPr>
        <w:t xml:space="preserve">Sp. z o.o.:</w:t>
      </w:r>
      <w:r>
        <w:t xml:space="preserve"> </w:t>
      </w:r>
      <w:r>
        <w:t xml:space="preserve">1. Aneks był konieczny ze względu na wzrost kosztów [Źródło 1].</w:t>
      </w:r>
      <w:r>
        <w:t xml:space="preserve"> </w:t>
      </w:r>
      <w:r>
        <w:t xml:space="preserve">2. §10 Umowy uprawnia go do zaproponowania zmian i rozwiązania umowy w przypadku braku ich akceptacji przez nabywcę [Źródło 1].</w:t>
      </w:r>
      <w:r>
        <w:t xml:space="preserve"> </w:t>
      </w:r>
      <w:r>
        <w:t xml:space="preserve">3. Żąda zapłaty kary umownej (62 000,00 zł) i kosztów administracyjnych (5 000,00 zł), łącznie 67 000,00 zł, zapowiadając potrącenie tych kwot z wpłaconych środków [Źródło 1].</w:t>
      </w:r>
    </w:p>
    <w:bookmarkEnd w:id="12"/>
    <w:bookmarkStart w:id="16" w:name="i.-opinia-prawna"/>
    <w:p>
      <w:pPr>
        <w:pStyle w:val="Heading2"/>
      </w:pPr>
      <w:r>
        <w:t xml:space="preserve">I. Opinia prawna</w:t>
      </w:r>
    </w:p>
    <w:bookmarkStart w:id="13" w:name="kwalifikacja-prawna-stanu-faktycznego"/>
    <w:p>
      <w:pPr>
        <w:pStyle w:val="Heading3"/>
      </w:pPr>
      <w:r>
        <w:t xml:space="preserve">1. Kwalifikacja prawna stanu faktycznego</w:t>
      </w:r>
    </w:p>
    <w:p>
      <w:pPr>
        <w:pStyle w:val="FirstParagraph"/>
      </w:pPr>
      <w:r>
        <w:t xml:space="preserve">Stan faktyczny dotyczy umowy deweloperskiej, która jest umową nazwaną, uregulowaną przez ustawę z dnia 16.09.2011 r. o ochronie praw nabywcy lokalu mieszkalnego lub domu jednorodzinnego, zwaną dalej</w:t>
      </w:r>
      <w:r>
        <w:t xml:space="preserve"> </w:t>
      </w:r>
      <w:r>
        <w:t xml:space="preserve">“ustawą deweloperską”</w:t>
      </w:r>
      <w:r>
        <w:t xml:space="preserve"> </w:t>
      </w:r>
      <w:r>
        <w:t xml:space="preserve">(brak w aktualnym stanie prawnym pełnego tekstu ustawy deweloperskiej, co może wpłynąć na szczegółowość analizy opartej o jej przepisy). W niniejszej opinii będziemy się opierać na ogólnych zasadach prawa cywilnego, a także na orzecznictwie dotyczącym praw konsumentów w relacjach z przedsiębiorcami.</w:t>
      </w:r>
    </w:p>
    <w:p>
      <w:pPr>
        <w:pStyle w:val="BodyText"/>
      </w:pPr>
      <w:r>
        <w:rPr>
          <w:b/>
          <w:bCs/>
        </w:rPr>
        <w:t xml:space="preserve">Kluczowe naruszenia ze strony dewelopera:</w:t>
      </w:r>
      <w:r>
        <w:t xml:space="preserve"> </w:t>
      </w:r>
      <w:r>
        <w:t xml:space="preserve">*</w:t>
      </w:r>
      <w:r>
        <w:t xml:space="preserve"> </w:t>
      </w:r>
      <w:r>
        <w:rPr>
          <w:b/>
          <w:bCs/>
        </w:rPr>
        <w:t xml:space="preserve">Brak rachunku powierniczego:</w:t>
      </w:r>
      <w:r>
        <w:t xml:space="preserve"> </w:t>
      </w:r>
      <w:r>
        <w:t xml:space="preserve">Deweloper przyjmował wpłaty na zwykły rachunek bankowy [Źródło 1]. Jest to rażące naruszenie obowiązków wynikających z ustawy deweloperskiej, która nakłada obowiązek stosowania mieszkaniowego rachunku powierniczego, co ma na celu zabezpieczenie środków nabywcy. Brak rachunku powierniczego stanowi poważne naruszenie przepisów ochronnych.</w:t>
      </w:r>
      <w:r>
        <w:t xml:space="preserve"> </w:t>
      </w:r>
      <w:r>
        <w:t xml:space="preserve">*</w:t>
      </w:r>
      <w:r>
        <w:t xml:space="preserve"> </w:t>
      </w:r>
      <w:r>
        <w:rPr>
          <w:b/>
          <w:bCs/>
        </w:rPr>
        <w:t xml:space="preserve">Brak wpisu w księdze wieczystej:</w:t>
      </w:r>
      <w:r>
        <w:t xml:space="preserve"> </w:t>
      </w:r>
      <w:r>
        <w:t xml:space="preserve">Brak dokonania wpisu roszczenia o przeniesienie własności lokalu w księdze wieczystej nieruchomości [Źródło 1] stanowi kolejne naruszenie, zmniejszające ochronę prawną nabywcy.</w:t>
      </w:r>
      <w:r>
        <w:t xml:space="preserve"> </w:t>
      </w:r>
      <w:r>
        <w:t xml:space="preserve">*</w:t>
      </w:r>
      <w:r>
        <w:t xml:space="preserve"> </w:t>
      </w:r>
      <w:r>
        <w:rPr>
          <w:b/>
          <w:bCs/>
        </w:rPr>
        <w:t xml:space="preserve">Wypowiedzenie umowy:</w:t>
      </w:r>
      <w:r>
        <w:t xml:space="preserve"> </w:t>
      </w:r>
      <w:r>
        <w:t xml:space="preserve">Jednostronne wypowiedzenie umowy przez dewelopera z powodu braku akceptacji aneksu (przesunięcie terminu i podwyższenie ceny) oraz żądanie kary umownej budzi poważne wątpliwości prawne [Źródło 1]. Wzrost kosztów budowy, o ile nie wynika z przyczyn nadzwyczajnych i niemożliwych do przewidzenia, zwykle obciąża dewelopera, a nie może być podstawą do jednostronnej zmiany warunków umowy z konsumentem, zwłaszcza w zakresie ceny.</w:t>
      </w:r>
    </w:p>
    <w:bookmarkEnd w:id="13"/>
    <w:bookmarkStart w:id="14" w:name="Xfb14db3cab2af5db11c196e441f8416d3dad3d0"/>
    <w:p>
      <w:pPr>
        <w:pStyle w:val="Heading3"/>
      </w:pPr>
      <w:r>
        <w:t xml:space="preserve">2. Ocena ważności/skuteczności kluczowych postanowień umowy i czynności stron</w:t>
      </w:r>
    </w:p>
    <w:p>
      <w:pPr>
        <w:pStyle w:val="Compact"/>
        <w:numPr>
          <w:ilvl w:val="0"/>
          <w:numId w:val="1005"/>
        </w:numPr>
      </w:pPr>
      <w:r>
        <w:rPr>
          <w:b/>
          <w:bCs/>
        </w:rPr>
        <w:t xml:space="preserve">§5 ust. 2 Umowy (przesunięcie terminu):</w:t>
      </w:r>
      <w:r>
        <w:t xml:space="preserve"> </w:t>
      </w:r>
      <w:r>
        <w:t xml:space="preserve">Postanowienie umożliwiające deweloperowi jednostronne przedłużenie terminu o ██ miesięcy z</w:t>
      </w:r>
      <w:r>
        <w:t xml:space="preserve"> </w:t>
      </w:r>
      <w:r>
        <w:t xml:space="preserve">“przyczyn niezależnych”</w:t>
      </w:r>
      <w:r>
        <w:t xml:space="preserve"> </w:t>
      </w:r>
      <w:r>
        <w:t xml:space="preserve">[Źródło 1] może zostać uznane za klauzulę abuzywną w rozumieniu przepisów Kodeksu cywilnego dotyczących niedozwolonych postanowień umownych, jeżeli kształtuje prawa i obowiązki konsumenta w sposób sprzeczny z dobrymi obyczajami, rażąco naruszając jego interesy. Generalne sformułowanie</w:t>
      </w:r>
      <w:r>
        <w:t xml:space="preserve"> </w:t>
      </w:r>
      <w:r>
        <w:t xml:space="preserve">“przyczyny niezależne”</w:t>
      </w:r>
      <w:r>
        <w:t xml:space="preserve"> </w:t>
      </w:r>
      <w:r>
        <w:t xml:space="preserve">jest zbyt szerokie i przerzuca ryzyko biznesowe dewelopera na konsumenta. Orzecznictwo wskazuje, że postanowienia umowne, które nie były indywidualnie uzgadniane i rażąco naruszają interesy konsumenta, mogą być uznane za niedozwolone. W sprawie [7] Sąd Rejonowy uznał, że klauzula dotycząca</w:t>
      </w:r>
      <w:r>
        <w:t xml:space="preserve"> </w:t>
      </w:r>
      <w:r>
        <w:t xml:space="preserve">“świadczenia wykupu”</w:t>
      </w:r>
      <w:r>
        <w:t xml:space="preserve"> </w:t>
      </w:r>
      <w:r>
        <w:t xml:space="preserve">w umowie ubezpieczeniowej (tzw. opłata likwidacyjna) może stanowić klauzulę abuzywną, jeżeli nie jest powiązana z realnie poniesionymi wydatkami i rażąco narusza interes konsumenta. Podobna argumentacja może mieć zastosowanie do niejasnych klauzul dotyczących zmiany terminu w umowie deweloperskiej.</w:t>
      </w:r>
    </w:p>
    <w:p>
      <w:pPr>
        <w:pStyle w:val="Compact"/>
        <w:numPr>
          <w:ilvl w:val="0"/>
          <w:numId w:val="1005"/>
        </w:numPr>
      </w:pPr>
      <w:r>
        <w:rPr>
          <w:b/>
          <w:bCs/>
        </w:rPr>
        <w:t xml:space="preserve">§10 ust. 2 Umowy (wypowiedzenie z powodu braku akceptacji aneksu i kara umowna):</w:t>
      </w:r>
      <w:r>
        <w:t xml:space="preserve"> </w:t>
      </w:r>
      <w:r>
        <w:t xml:space="preserve">Postanowienie to, umożliwiające deweloperowi jednostronne wypowiedzenie umowy z powodu braku akceptacji przez nabywcę aneksu wprowadzającego podwyżkę ceny [Źródło 1], jest prawdopodobnie nieważne lub bezskuteczne. Wzrost kosztów dewelopera, co do zasady, nie uprawnia go do jednostronnej zmiany ceny w umowie deweloperskiej. Wypowiedzenie umowy na tej podstawie może zostać uznane za sprzeczne z zasadami współżycia społecznego oraz celem umowy deweloperskiej, której istotą jest zapewnienie nabywcy bezpieczeństwa transakcji. Żądanie kary umownej (10% ceny brutto, tj. 62 000,00 zł) oraz kosztów administracyjnych (5 000,00 zł) w tej sytuacji jest wysoce wątpliwe. Kary umowne mogą być zastrzeżone jedynie za niewykonanie lub nienależyte wykonanie zobowiązania niepieniężnego. Odmowa przyjęcia aneksu z podwyżką ceny nie stanowi</w:t>
      </w:r>
      <w:r>
        <w:t xml:space="preserve"> </w:t>
      </w:r>
      <w:r>
        <w:t xml:space="preserve">“niewykonania zobowiązania”</w:t>
      </w:r>
      <w:r>
        <w:t xml:space="preserve"> </w:t>
      </w:r>
      <w:r>
        <w:t xml:space="preserve">przez nabywcę. Ponadto, w świetle orzecznictwa Trybunału Sprawiedliwości Unii Europejskiej oraz sądów krajowych (por. sprawa [6], choć dotyczy transakcji handlowych), stosowanie art. 5 KC (zasady współżycia społecznego) nie może prowadzić do podważenia lub obejścia przepisów prawnych, których celem jest ochrona jednej ze stron. W tym przypadku, deweloper próbuje obciążyć konsumenta kosztami swojej błędnej kalkulacji lub ryzyka biznesowego.</w:t>
      </w:r>
    </w:p>
    <w:p>
      <w:pPr>
        <w:pStyle w:val="FirstParagraph"/>
      </w:pPr>
      <w:r>
        <w:rPr>
          <w:b/>
          <w:bCs/>
        </w:rPr>
        <w:t xml:space="preserve">Czynności stron:</w:t>
      </w:r>
      <w:r>
        <w:t xml:space="preserve"> </w:t>
      </w:r>
      <w:r>
        <w:t xml:space="preserve">*</w:t>
      </w:r>
      <w:r>
        <w:t xml:space="preserve"> </w:t>
      </w:r>
      <w:r>
        <w:rPr>
          <w:b/>
          <w:bCs/>
        </w:rPr>
        <w:t xml:space="preserve">Wpłaty na zwykły rachunek dewelopera:</w:t>
      </w:r>
      <w:r>
        <w:t xml:space="preserve"> </w:t>
      </w:r>
      <w:r>
        <w:t xml:space="preserve">To naruszenie przepisów ustawy deweloperskiej, które ma wpływ na ocenę bezpieczeństwa transakcji dla nabywcy.</w:t>
      </w:r>
      <w:r>
        <w:t xml:space="preserve"> </w:t>
      </w:r>
      <w:r>
        <w:t xml:space="preserve">*</w:t>
      </w:r>
      <w:r>
        <w:t xml:space="preserve"> </w:t>
      </w:r>
      <w:r>
        <w:rPr>
          <w:b/>
          <w:bCs/>
        </w:rPr>
        <w:t xml:space="preserve">Odmowa akceptacji aneksu przez Pana M. K.a:</w:t>
      </w:r>
      <w:r>
        <w:t xml:space="preserve"> </w:t>
      </w:r>
      <w:r>
        <w:t xml:space="preserve">Czynność ta była w pełni uzasadniona i prawnie dopuszczalna. Nabywca nie miał obowiązku akceptowania niekorzystnych zmian.</w:t>
      </w:r>
      <w:r>
        <w:t xml:space="preserve"> </w:t>
      </w:r>
      <w:r>
        <w:t xml:space="preserve">*</w:t>
      </w:r>
      <w:r>
        <w:t xml:space="preserve"> </w:t>
      </w:r>
      <w:r>
        <w:rPr>
          <w:b/>
          <w:bCs/>
        </w:rPr>
        <w:t xml:space="preserve">Wypowiedzenie umowy przez dewelopera:</w:t>
      </w:r>
      <w:r>
        <w:t xml:space="preserve"> </w:t>
      </w:r>
      <w:r>
        <w:t xml:space="preserve">W świetle powyższej analizy, wypowiedzenie umowy przez dewelopera jest prawdopodobnie</w:t>
      </w:r>
      <w:r>
        <w:t xml:space="preserve"> </w:t>
      </w:r>
      <w:r>
        <w:rPr>
          <w:b/>
          <w:bCs/>
        </w:rPr>
        <w:t xml:space="preserve">bezskuteczne</w:t>
      </w:r>
      <w:r>
        <w:t xml:space="preserve">. Nie ma podstaw prawnych do jednostronnego rozwiązania umowy deweloperskiej z powodu niezaakceptowania aneksu, który zmienia istotne warunki umowy (termin i cenę) na niekorzyść nabywcy, zwłaszcza gdy powodem są czynniki leżące w ryzyku dewelopera.</w:t>
      </w:r>
    </w:p>
    <w:bookmarkEnd w:id="14"/>
    <w:bookmarkStart w:id="15" w:name="zastosowanie-właściwych-przepisów"/>
    <w:p>
      <w:pPr>
        <w:pStyle w:val="Heading3"/>
      </w:pPr>
      <w:r>
        <w:t xml:space="preserve">3. Zastosowanie właściwych przepisów</w:t>
      </w:r>
    </w:p>
    <w:p>
      <w:pPr>
        <w:pStyle w:val="FirstParagraph"/>
      </w:pPr>
      <w:r>
        <w:t xml:space="preserve">Brak pełnego tekstu ustawy deweloperskiej w dostarczonym stanie prawnym uniemożliwia dokładne przywołanie jej artykułów. Ogólne przepisy Kodeksu cywilnego, które mają zastosowanie, to:</w:t>
      </w:r>
      <w:r>
        <w:t xml:space="preserve"> </w:t>
      </w:r>
      <w:r>
        <w:t xml:space="preserve">*</w:t>
      </w:r>
      <w:r>
        <w:t xml:space="preserve"> </w:t>
      </w:r>
      <w:r>
        <w:rPr>
          <w:b/>
          <w:bCs/>
        </w:rPr>
        <w:t xml:space="preserve">Art. 58 § 1 i 2 Kodeksu cywilnego:</w:t>
      </w:r>
      <w:r>
        <w:t xml:space="preserve"> </w:t>
      </w:r>
      <w:r>
        <w:t xml:space="preserve">dotyczące nieważności czynności prawnej sprzecznej z ustawą lub mającej na celu obejście ustawy, a także sprzecznej z zasadami współżycia społecznego. Klauzula uprawniająca dewelopera do jednostronnego podwyższenia ceny oraz wypowiedzenia umowy z powodu jej nieakceptacji, jak i brak rachunku powierniczego, mogą być podstawą do uznania, że umowa (lub jej część) jest nieważna ze względu na sprzeczność z ustawą deweloperską lub zasadami współżycia społecznego.</w:t>
      </w:r>
      <w:r>
        <w:t xml:space="preserve"> </w:t>
      </w:r>
      <w:r>
        <w:t xml:space="preserve">*</w:t>
      </w:r>
      <w:r>
        <w:t xml:space="preserve"> </w:t>
      </w:r>
      <w:r>
        <w:rPr>
          <w:b/>
          <w:bCs/>
        </w:rPr>
        <w:t xml:space="preserve">Przepisy o niedozwolonych klauzulach umownych (art. 385¹ i nast. Kodeksu cywilnego):</w:t>
      </w:r>
      <w:r>
        <w:t xml:space="preserve"> </w:t>
      </w:r>
      <w:r>
        <w:t xml:space="preserve">(brak pełnych przepisów w dostarczonym stanie prawnym, ale odwołanie w orzecznictwie [7] i [8] wskazuje na ich zastosowanie). Jeśli postanowienie umowne nie zostało uzgodnione indywidualnie i kształtuje prawa i obowiązki konsumenta w sposób sprzeczny z dobrymi obyczajami, rażąco naruszając jego interesy, nie wiąże ono konsumenta. Klauzule o możliwości jednostronnego przesunięcia terminu z ogólnikowych przyczyn oraz o wypowiedzeniu umowy z powodu nieakceptowania podwyżki ceny przez konsumenta mogą być takimi klauzulami. W sprawie [7] Sąd wskazał, że sądowa kontrola postanowień określających wartość wykupu jest dopuszczalna, gdy nie są one głównym świadczeniem stron i mogą mieć wpływ na wysokość świadczeń.</w:t>
      </w:r>
      <w:r>
        <w:t xml:space="preserve"> </w:t>
      </w:r>
      <w:r>
        <w:t xml:space="preserve">*</w:t>
      </w:r>
      <w:r>
        <w:t xml:space="preserve"> </w:t>
      </w:r>
      <w:r>
        <w:rPr>
          <w:b/>
          <w:bCs/>
        </w:rPr>
        <w:t xml:space="preserve">Art. 471 Kodeksu cywilnego:</w:t>
      </w:r>
      <w:r>
        <w:t xml:space="preserve"> </w:t>
      </w:r>
      <w:r>
        <w:t xml:space="preserve">Podstawa odpowiedzialności kontraktowej za niewykonanie lub nienależyte wykonanie zobowiązania (np. niedokończenie inwestycji, brak rachunku powierniczego).</w:t>
      </w:r>
      <w:r>
        <w:t xml:space="preserve"> </w:t>
      </w:r>
      <w:r>
        <w:t xml:space="preserve">*</w:t>
      </w:r>
      <w:r>
        <w:t xml:space="preserve"> </w:t>
      </w:r>
      <w:r>
        <w:rPr>
          <w:b/>
          <w:bCs/>
        </w:rPr>
        <w:t xml:space="preserve">Art. 405 Kodeksu cywilnego:</w:t>
      </w:r>
      <w:r>
        <w:t xml:space="preserve"> </w:t>
      </w:r>
      <w:r>
        <w:t xml:space="preserve">Podstawa zwrotu nienależnego świadczenia. Jeśli wypowiedzenie umowy jest bezskuteczne lub klauzule dotyczące podwyżki ceny i kar umownych są nieważne/abuzywne, deweloper powinien zwrócić wszystkie wpłacone środki jako świadczenie nienależne. Orzeczenie w sprawie [8] wskazuje, że świadczenie spełnione na rzecz pozwanego bez podstawy prawnej z uwagi na abuzywność postanowień umowy kredytu lub jej nieważność podlega zwrotowi jako nienależne.</w:t>
      </w:r>
    </w:p>
    <w:bookmarkEnd w:id="15"/>
    <w:bookmarkEnd w:id="16"/>
    <w:bookmarkStart w:id="21" w:name="X63064538f6af3d65b55737a0f30e050168addf3"/>
    <w:p>
      <w:pPr>
        <w:pStyle w:val="Heading2"/>
      </w:pPr>
      <w:r>
        <w:t xml:space="preserve">II. Odpowiedź na wszystkie zagadnienia z części III kazusu</w:t>
      </w:r>
    </w:p>
    <w:bookmarkStart w:id="17" w:name="kwestie-terminów-i-przedawnienia"/>
    <w:p>
      <w:pPr>
        <w:pStyle w:val="Heading3"/>
      </w:pPr>
      <w:r>
        <w:t xml:space="preserve">5. Kwestie terminów i przedawnienia</w:t>
      </w:r>
    </w:p>
    <w:p>
      <w:pPr>
        <w:pStyle w:val="Compact"/>
        <w:numPr>
          <w:ilvl w:val="0"/>
          <w:numId w:val="1006"/>
        </w:numPr>
      </w:pPr>
      <w:r>
        <w:rPr>
          <w:b/>
          <w:bCs/>
        </w:rPr>
        <w:t xml:space="preserve">Roszczenia o zwrot wpłat (nienależne świadczenie):</w:t>
      </w:r>
      <w:r>
        <w:t xml:space="preserve"> </w:t>
      </w:r>
      <w:r>
        <w:t xml:space="preserve">Roszczenia z tytułu nienależnego świadczenia (zwrot wpłaconych kwot) przedawniają się na zasadach ogólnych. Zgodnie z Kodeksem cywilnym, termin przedawnienia dla roszczeń majątkowych wynosi sześć lat (dla przedsiębiorców i roszczeń okresowych) lub trzy lata (dla pozostałych roszczeń). W przypadku konsumentów, zastosowanie ma trzyletni termin przedawnienia licząc od dnia wymagalności. Bieg terminu przedawnienia rozpoczyna się od dnia, w którym roszczenie stało się wymagalne. W tym przypadku, roszczenie o zwrot wpłat stało się wymagalne z chwilą bezskutecznego (lub nieważnego) wypowiedzenia umowy przez dewelopera i/lub z upływem terminu na przeniesienie własności.</w:t>
      </w:r>
    </w:p>
    <w:p>
      <w:pPr>
        <w:pStyle w:val="Compact"/>
        <w:numPr>
          <w:ilvl w:val="1"/>
          <w:numId w:val="1007"/>
        </w:numPr>
      </w:pPr>
      <w:r>
        <w:t xml:space="preserve">Wpłata 62 000,00 zł: 22.03.2024 r. [Źródło 1].</w:t>
      </w:r>
    </w:p>
    <w:p>
      <w:pPr>
        <w:pStyle w:val="Compact"/>
        <w:numPr>
          <w:ilvl w:val="1"/>
          <w:numId w:val="1007"/>
        </w:numPr>
      </w:pPr>
      <w:r>
        <w:t xml:space="preserve">Wpłata 248 000,00 zł: 15.02.2025 r. [Źródło 1].</w:t>
      </w:r>
    </w:p>
    <w:p>
      <w:pPr>
        <w:pStyle w:val="Compact"/>
        <w:numPr>
          <w:ilvl w:val="1"/>
          <w:numId w:val="1007"/>
        </w:numPr>
      </w:pPr>
      <w:r>
        <w:t xml:space="preserve">Wypowiedzenie umowy: 01.03.2025 r. [Źródło 1].</w:t>
      </w:r>
    </w:p>
    <w:p>
      <w:pPr>
        <w:pStyle w:val="Compact"/>
        <w:numPr>
          <w:ilvl w:val="1"/>
          <w:numId w:val="1007"/>
        </w:numPr>
      </w:pPr>
      <w:r>
        <w:rPr>
          <w:b/>
          <w:bCs/>
        </w:rPr>
        <w:t xml:space="preserve">Bieg przedawnienia:</w:t>
      </w:r>
      <w:r>
        <w:t xml:space="preserve"> </w:t>
      </w:r>
      <w:r>
        <w:t xml:space="preserve">Roszczenie o zwrot wpłat stało się wymagalne najwcześniej 01.03.2025 r. (data doręczenia wypowiedzenia). Trzyletni termin przedawnienia upłynie zatem 01.03.2028 r. Roszczenia są zatem aktualnie nieprzedawnione.</w:t>
      </w:r>
    </w:p>
    <w:p>
      <w:pPr>
        <w:pStyle w:val="Compact"/>
        <w:numPr>
          <w:ilvl w:val="0"/>
          <w:numId w:val="1006"/>
        </w:numPr>
      </w:pPr>
      <w:r>
        <w:rPr>
          <w:b/>
          <w:bCs/>
        </w:rPr>
        <w:t xml:space="preserve">Roszczenia o odszkodowanie (niewykonanie/nienależyte wykonanie zobowiązań):</w:t>
      </w:r>
      <w:r>
        <w:t xml:space="preserve"> </w:t>
      </w:r>
      <w:r>
        <w:t xml:space="preserve">Roszczenia odszkodowawcze z tytułu odpowiedzialności kontraktowej (art. 471 KC) przedawniają się z upływem trzech lat od dnia, w którym poszkodowany dowiedział się o szkodzie i o osobie obowiązanej do jej naprawienia, nie później jednak niż z upływem dziesięciu lat od dnia, w którym nastąpiło zdarzenie wywołujące szkodę. W tym przypadku, termin ten biegnie od daty, w której deweloper nie dotrzymał terminu przekazania lokalu (01.12.2024 r. lub 01.07.2025 r. po proponowanym aneksie) i/lub od daty wstrzymania prac budowlanych (01.03.2025 r.) [Źródło 1]. Roszczenia te również nie są przedawnione.</w:t>
      </w:r>
    </w:p>
    <w:p>
      <w:pPr>
        <w:pStyle w:val="Compact"/>
        <w:numPr>
          <w:ilvl w:val="0"/>
          <w:numId w:val="1006"/>
        </w:numPr>
      </w:pPr>
      <w:r>
        <w:rPr>
          <w:b/>
          <w:bCs/>
        </w:rPr>
        <w:t xml:space="preserve">Roszczenia z tytułu rękojmi:</w:t>
      </w:r>
      <w:r>
        <w:t xml:space="preserve"> </w:t>
      </w:r>
      <w:r>
        <w:t xml:space="preserve">Roszczenia z tytułu rękojmi za wady fizyczne nieruchomości przedawniają się z upływem pięciu lat od dnia wydania rzeczy. Termin ten rozpocznie bieg od faktycznego wydania lokalu. Jeśli lokal nie zostanie wydany, roszczenia te nie znajdą zastosowania.</w:t>
      </w:r>
    </w:p>
    <w:p>
      <w:pPr>
        <w:pStyle w:val="Compact"/>
        <w:numPr>
          <w:ilvl w:val="0"/>
          <w:numId w:val="1006"/>
        </w:numPr>
      </w:pPr>
      <w:r>
        <w:rPr>
          <w:b/>
          <w:bCs/>
        </w:rPr>
        <w:t xml:space="preserve">Kary umowne dewelopera:</w:t>
      </w:r>
      <w:r>
        <w:t xml:space="preserve"> </w:t>
      </w:r>
      <w:r>
        <w:t xml:space="preserve">Deweloper może żądać zapłaty kar umownych, jeśli takie były skutecznie zastrzeżone w umowie. Roszczenie o zapłatę kary umownej jest roszczeniem majątkowym i przedawnia się na zasadach ogólnych (█ lata, jeśli jest związane z działalnością gospodarczą). Jednak w tym przypadku, zasadność żądania kary umownej przez dewelopera jest wątpliwa (jak wskazano w punkcie 2 opinii prawnej). Jeśli kara umowna jest nieważna lub abuzywna, roszczenie o jej zapłatę nie przysługuje deweloperowi. Nawet gdyby była zasadna, termin przedawnienia upłynąłby █ lata od dnia wymagalności.</w:t>
      </w:r>
    </w:p>
    <w:bookmarkEnd w:id="17"/>
    <w:bookmarkStart w:id="18" w:name="kwestie-dowodowe-i-strategia-procesowa"/>
    <w:p>
      <w:pPr>
        <w:pStyle w:val="Heading3"/>
      </w:pPr>
      <w:r>
        <w:t xml:space="preserve">6. Kwestie dowodowe i strategia procesowa</w:t>
      </w:r>
    </w:p>
    <w:p>
      <w:pPr>
        <w:pStyle w:val="Compact"/>
        <w:numPr>
          <w:ilvl w:val="0"/>
          <w:numId w:val="1008"/>
        </w:numPr>
      </w:pPr>
      <w:r>
        <w:rPr>
          <w:b/>
          <w:bCs/>
        </w:rPr>
        <w:t xml:space="preserve">Dokumenty, dowody i ekspertyzy do zgromadzenia:</w:t>
      </w:r>
    </w:p>
    <w:p>
      <w:pPr>
        <w:pStyle w:val="Compact"/>
        <w:numPr>
          <w:ilvl w:val="1"/>
          <w:numId w:val="1009"/>
        </w:numPr>
      </w:pPr>
      <w:r>
        <w:rPr>
          <w:b/>
          <w:bCs/>
        </w:rPr>
        <w:t xml:space="preserve">Umowa deweloperska nr D-████/███ oraz wszelkie aneksy i załączniki:</w:t>
      </w:r>
      <w:r>
        <w:t xml:space="preserve"> </w:t>
      </w:r>
      <w:r>
        <w:t xml:space="preserve">Oryginał lub poświadczona kopia [Źródło 1].</w:t>
      </w:r>
    </w:p>
    <w:p>
      <w:pPr>
        <w:pStyle w:val="Compact"/>
        <w:numPr>
          <w:ilvl w:val="1"/>
          <w:numId w:val="1009"/>
        </w:numPr>
      </w:pPr>
      <w:r>
        <w:rPr>
          <w:b/>
          <w:bCs/>
        </w:rPr>
        <w:t xml:space="preserve">Potwierdzenia przelewów na kwoty 62 000,00 zł i 248 000,00 zł:</w:t>
      </w:r>
      <w:r>
        <w:t xml:space="preserve"> </w:t>
      </w:r>
      <w:r>
        <w:t xml:space="preserve">Dokumenty bankowe potwierdzające daty i kwoty wpłat [Źródło 1].</w:t>
      </w:r>
    </w:p>
    <w:p>
      <w:pPr>
        <w:pStyle w:val="Compact"/>
        <w:numPr>
          <w:ilvl w:val="1"/>
          <w:numId w:val="1009"/>
        </w:numPr>
      </w:pPr>
      <w:r>
        <w:rPr>
          <w:b/>
          <w:bCs/>
        </w:rPr>
        <w:t xml:space="preserve">Korespondencja z deweloperem (e-mail, pisma):</w:t>
      </w:r>
      <w:r>
        <w:t xml:space="preserve"> </w:t>
      </w:r>
      <w:r>
        <w:t xml:space="preserve">W szczególności:</w:t>
      </w:r>
    </w:p>
    <w:p>
      <w:pPr>
        <w:pStyle w:val="Compact"/>
        <w:numPr>
          <w:ilvl w:val="2"/>
          <w:numId w:val="1010"/>
        </w:numPr>
      </w:pPr>
      <w:r>
        <w:t xml:space="preserve">Propozycja aneksu nr 1 z 15.01.2025 r. [Źródło 1].</w:t>
      </w:r>
    </w:p>
    <w:p>
      <w:pPr>
        <w:pStyle w:val="Compact"/>
        <w:numPr>
          <w:ilvl w:val="2"/>
          <w:numId w:val="1010"/>
        </w:numPr>
      </w:pPr>
      <w:r>
        <w:t xml:space="preserve">Odmowa akceptacji aneksu z 20.01.2025 r. [Źródło 1].</w:t>
      </w:r>
    </w:p>
    <w:p>
      <w:pPr>
        <w:pStyle w:val="Compact"/>
        <w:numPr>
          <w:ilvl w:val="2"/>
          <w:numId w:val="1010"/>
        </w:numPr>
      </w:pPr>
      <w:r>
        <w:t xml:space="preserve">Oświadczenie o wypowiedzeniu umowy z 28.02.2025 r., doręczone 01.03.2025 r. [Źródło 1].</w:t>
      </w:r>
    </w:p>
    <w:p>
      <w:pPr>
        <w:pStyle w:val="Compact"/>
        <w:numPr>
          <w:ilvl w:val="2"/>
          <w:numId w:val="1010"/>
        </w:numPr>
      </w:pPr>
      <w:r>
        <w:t xml:space="preserve">Wszelka inna korespondencja dotycząca opóźnień, zmian warunków, wstrzymania prac.</w:t>
      </w:r>
    </w:p>
    <w:p>
      <w:pPr>
        <w:pStyle w:val="Compact"/>
        <w:numPr>
          <w:ilvl w:val="1"/>
          <w:numId w:val="1009"/>
        </w:numPr>
      </w:pPr>
      <w:r>
        <w:rPr>
          <w:b/>
          <w:bCs/>
        </w:rPr>
        <w:t xml:space="preserve">Dowód na brak rachunku powierniczego:</w:t>
      </w:r>
      <w:r>
        <w:t xml:space="preserve"> </w:t>
      </w:r>
      <w:r>
        <w:t xml:space="preserve">Wypis z Centralnej Ewidencji i Informacji o Działalności Gospodarczej (CEIDG) lub Krajowego Rejestru Sądowego (KRS) dewelopera, jeśli zawiera informacje o rachunkach. Ewentualnie wystąpienie do banku, w którym deweloper ma rachunek, o informację, czy jest to rachunek powierniczy.</w:t>
      </w:r>
    </w:p>
    <w:p>
      <w:pPr>
        <w:pStyle w:val="Compact"/>
        <w:numPr>
          <w:ilvl w:val="1"/>
          <w:numId w:val="1009"/>
        </w:numPr>
      </w:pPr>
      <w:r>
        <w:rPr>
          <w:b/>
          <w:bCs/>
        </w:rPr>
        <w:t xml:space="preserve">Dowód na brak wpisu w księdze wieczystej:</w:t>
      </w:r>
      <w:r>
        <w:t xml:space="preserve"> </w:t>
      </w:r>
      <w:r>
        <w:t xml:space="preserve">Aktualny odpis z księgi wieczystej nieruchomości.</w:t>
      </w:r>
    </w:p>
    <w:p>
      <w:pPr>
        <w:pStyle w:val="Compact"/>
        <w:numPr>
          <w:ilvl w:val="1"/>
          <w:numId w:val="1009"/>
        </w:numPr>
      </w:pPr>
      <w:r>
        <w:rPr>
          <w:b/>
          <w:bCs/>
        </w:rPr>
        <w:t xml:space="preserve">Zdjęcia i filmy placu budowy:</w:t>
      </w:r>
      <w:r>
        <w:t xml:space="preserve"> </w:t>
      </w:r>
      <w:r>
        <w:t xml:space="preserve">Dokumentacja stanu prac budowlanych (wstrzymane prace 01.03.2025 r.) [Źródło 1].</w:t>
      </w:r>
    </w:p>
    <w:p>
      <w:pPr>
        <w:pStyle w:val="Compact"/>
        <w:numPr>
          <w:ilvl w:val="1"/>
          <w:numId w:val="1009"/>
        </w:numPr>
      </w:pPr>
      <w:r>
        <w:rPr>
          <w:b/>
          <w:bCs/>
        </w:rPr>
        <w:t xml:space="preserve">Opinia rzeczoznawcy budowlanego:</w:t>
      </w:r>
      <w:r>
        <w:t xml:space="preserve"> </w:t>
      </w:r>
      <w:r>
        <w:t xml:space="preserve">Ocena stanu zaawansowania prac, przyczyn opóźnień, kosztów ewentualnego dokończenia inwestycji (por. sprawa [1] gdzie Sąd oparł się na opinii biegłego sądowego z zakresu wyceny nieruchomości, przyjmując ją za bezstronny i wiarygodny dowód).</w:t>
      </w:r>
    </w:p>
    <w:p>
      <w:pPr>
        <w:pStyle w:val="Compact"/>
        <w:numPr>
          <w:ilvl w:val="1"/>
          <w:numId w:val="1009"/>
        </w:numPr>
      </w:pPr>
      <w:r>
        <w:rPr>
          <w:b/>
          <w:bCs/>
        </w:rPr>
        <w:t xml:space="preserve">Nagrania rozmów:</w:t>
      </w:r>
      <w:r>
        <w:t xml:space="preserve"> </w:t>
      </w:r>
      <w:r>
        <w:t xml:space="preserve">Jeśli istnieją, mogą stanowić dowód w sprawie, choć ich dopuszczalność i moc dowodowa mogą być kwestionowane, w zależności od okoliczności ich pozyskania.</w:t>
      </w:r>
    </w:p>
    <w:p>
      <w:pPr>
        <w:pStyle w:val="Compact"/>
        <w:numPr>
          <w:ilvl w:val="1"/>
          <w:numId w:val="1009"/>
        </w:numPr>
      </w:pPr>
      <w:r>
        <w:rPr>
          <w:b/>
          <w:bCs/>
        </w:rPr>
        <w:t xml:space="preserve">Wewnętrzne pisma dewelopera, specyfikacja techniczna, dokumentacja budowy:</w:t>
      </w:r>
      <w:r>
        <w:t xml:space="preserve"> </w:t>
      </w:r>
      <w:r>
        <w:t xml:space="preserve">Dostęp do tych dokumentów może być utrudniony, ale należy podjąć próbę ich zabezpieczenia (np. poprzez wniosek o zabezpieczenie dowodu lub zobowiązanie dewelopera do ich przedłożenia).</w:t>
      </w:r>
    </w:p>
    <w:p>
      <w:pPr>
        <w:pStyle w:val="Compact"/>
        <w:numPr>
          <w:ilvl w:val="0"/>
          <w:numId w:val="1008"/>
        </w:numPr>
      </w:pPr>
      <w:r>
        <w:rPr>
          <w:b/>
          <w:bCs/>
        </w:rPr>
        <w:t xml:space="preserve">Ocena ryzyka rozstrzygnięcia sporu w postępowaniu cywilnym vs. propozycje alternatywnych trybów:</w:t>
      </w:r>
    </w:p>
    <w:p>
      <w:pPr>
        <w:pStyle w:val="Compact"/>
        <w:numPr>
          <w:ilvl w:val="1"/>
          <w:numId w:val="1011"/>
        </w:numPr>
      </w:pPr>
      <w:r>
        <w:rPr>
          <w:b/>
          <w:bCs/>
        </w:rPr>
        <w:t xml:space="preserve">Postępowanie cywilne:</w:t>
      </w:r>
      <w:r>
        <w:t xml:space="preserve"> </w:t>
      </w:r>
      <w:r>
        <w:t xml:space="preserve">Wysokie szanse na uwzględnienie roszczeń klienta, zwłaszcza w zakresie zwrotu wpłaconych środków i odrzucenia roszczeń dewelopera o karę umowną. Ryzyko wiąże się z długością postępowania i potencjalnymi kosztami.</w:t>
      </w:r>
    </w:p>
    <w:p>
      <w:pPr>
        <w:pStyle w:val="Compact"/>
        <w:numPr>
          <w:ilvl w:val="1"/>
          <w:numId w:val="1011"/>
        </w:numPr>
      </w:pPr>
      <w:r>
        <w:rPr>
          <w:b/>
          <w:bCs/>
        </w:rPr>
        <w:t xml:space="preserve">Mediacja:</w:t>
      </w:r>
      <w:r>
        <w:t xml:space="preserve"> </w:t>
      </w:r>
      <w:r>
        <w:t xml:space="preserve">Zgodnie z art. 187 § 1 pkt 3 KPC, pozew powinien zawierać informację, czy strony podjęły próbę mediacji lub innego pozasądowego rozwiązania sporu. Mediacja może być szybszym i tańszym sposobem rozwiązania sporu, jeśli deweloper wykaże dobrą wolę. Biorąc pod uwagę stanowcze stanowisko dewelopera (wypowiedzenie umowy, żądanie kar umownych), szanse na dobrowolne porozumienie mogą być jednak niskie.</w:t>
      </w:r>
    </w:p>
    <w:p>
      <w:pPr>
        <w:pStyle w:val="Compact"/>
        <w:numPr>
          <w:ilvl w:val="1"/>
          <w:numId w:val="1011"/>
        </w:numPr>
      </w:pPr>
      <w:r>
        <w:rPr>
          <w:b/>
          <w:bCs/>
        </w:rPr>
        <w:t xml:space="preserve">Postępowanie przed rzecznikiem konsumentów / zawiadomienie UOKiK:</w:t>
      </w:r>
      <w:r>
        <w:t xml:space="preserve"> </w:t>
      </w:r>
      <w:r>
        <w:t xml:space="preserve">Wskazane jest złożenie zawiadomienia do UOKiK o stosowaniu potencjalnie abuzywnych klauzul i naruszeniu przepisów ustawy deweloperskiej. UOKiK może podjąć działania administracyjne, co może wywrzeć presję na dewelopera i ułatwić dochodzenie roszczeń. Nie jest to jednak bezpośrednia droga do odzyskania środków.</w:t>
      </w:r>
    </w:p>
    <w:p>
      <w:pPr>
        <w:pStyle w:val="Compact"/>
        <w:numPr>
          <w:ilvl w:val="0"/>
          <w:numId w:val="1008"/>
        </w:numPr>
      </w:pPr>
      <w:r>
        <w:rPr>
          <w:b/>
          <w:bCs/>
        </w:rPr>
        <w:t xml:space="preserve">Rekomendacja procedury zabezpieczenia roszczeń (wniosek o zabezpieczenie powództwa):</w:t>
      </w:r>
    </w:p>
    <w:p>
      <w:pPr>
        <w:pStyle w:val="Compact"/>
        <w:numPr>
          <w:ilvl w:val="1"/>
          <w:numId w:val="1012"/>
        </w:numPr>
      </w:pPr>
      <w:r>
        <w:rPr>
          <w:b/>
          <w:bCs/>
        </w:rPr>
        <w:t xml:space="preserve">Rodzaj zabezpieczenia:</w:t>
      </w:r>
      <w:r>
        <w:t xml:space="preserve"> </w:t>
      </w:r>
      <w:r>
        <w:t xml:space="preserve">Wniosek o zabezpieczenie powództwa jest wysoce rekomendowany, zwłaszcza biorąc pod uwagę brak rachunku powierniczego i wstrzymanie prac [Źródło 1]. Zgodnie z art. 736 KPC, wniosek o udzielenie zabezpieczenia powinien zawierać uprawdopodobnienie okoliczności uzasadniających wniosek.</w:t>
      </w:r>
    </w:p>
    <w:p>
      <w:pPr>
        <w:pStyle w:val="Compact"/>
        <w:numPr>
          <w:ilvl w:val="2"/>
          <w:numId w:val="1013"/>
        </w:numPr>
      </w:pPr>
      <w:r>
        <w:rPr>
          <w:b/>
          <w:bCs/>
        </w:rPr>
        <w:t xml:space="preserve">Zakaz zbywania nieruchomości:</w:t>
      </w:r>
      <w:r>
        <w:t xml:space="preserve"> </w:t>
      </w:r>
      <w:r>
        <w:t xml:space="preserve">Ustanowienie zakazu zbywania praw do inwestycji (np. działek, na których znajduje się inwestycja lub innych lokali w ramach tego samego projektu) jest praktycznym rozwiązaniem, które uniemożliwi deweloperowi usunięcie majątku.</w:t>
      </w:r>
    </w:p>
    <w:p>
      <w:pPr>
        <w:pStyle w:val="Compact"/>
        <w:numPr>
          <w:ilvl w:val="2"/>
          <w:numId w:val="1013"/>
        </w:numPr>
      </w:pPr>
      <w:r>
        <w:rPr>
          <w:b/>
          <w:bCs/>
        </w:rPr>
        <w:t xml:space="preserve">Ustanowienie hipoteki przymusowej:</w:t>
      </w:r>
      <w:r>
        <w:t xml:space="preserve"> </w:t>
      </w:r>
      <w:r>
        <w:t xml:space="preserve">Ustanowienie hipoteki przymusowej na majątku dewelopera (np. na innych nieruchomościach lub na samej nieruchomości objętej umową, jeśli deweloper nadal jest właścicielem gruntu) jest również skutecznym sposobem zabezpieczenia roszczeń pieniężnych.</w:t>
      </w:r>
    </w:p>
    <w:p>
      <w:pPr>
        <w:pStyle w:val="Compact"/>
        <w:numPr>
          <w:ilvl w:val="2"/>
          <w:numId w:val="1013"/>
        </w:numPr>
      </w:pPr>
      <w:r>
        <w:rPr>
          <w:b/>
          <w:bCs/>
        </w:rPr>
        <w:t xml:space="preserve">Zabezpieczenie pieniężne:</w:t>
      </w:r>
      <w:r>
        <w:t xml:space="preserve"> </w:t>
      </w:r>
      <w:r>
        <w:t xml:space="preserve">W sprawie roszczeń pieniężnych (zwrot wpłat, odszkodowanie) można domagać się zabezpieczenia poprzez zajęcie rachunku bankowego dewelopera do wysokości dochodzonego roszczenia.</w:t>
      </w:r>
    </w:p>
    <w:bookmarkEnd w:id="18"/>
    <w:bookmarkStart w:id="19" w:name="iii.-wyliczenie-roszczeń"/>
    <w:p>
      <w:pPr>
        <w:pStyle w:val="Heading3"/>
      </w:pPr>
      <w:r>
        <w:t xml:space="preserve">III. Wyliczenie roszczeń</w:t>
      </w:r>
    </w:p>
    <w:p>
      <w:pPr>
        <w:pStyle w:val="FirstParagraph"/>
      </w:pPr>
      <w:r>
        <w:rPr>
          <w:b/>
          <w:bCs/>
        </w:rPr>
        <w:t xml:space="preserve">Roszczenia M. K.:</w:t>
      </w:r>
    </w:p>
    <w:p>
      <w:pPr>
        <w:pStyle w:val="Compact"/>
        <w:numPr>
          <w:ilvl w:val="0"/>
          <w:numId w:val="1014"/>
        </w:numPr>
      </w:pPr>
      <w:r>
        <w:rPr>
          <w:b/>
          <w:bCs/>
        </w:rPr>
        <w:t xml:space="preserve">Zwrot wpłaconych środków:</w:t>
      </w:r>
      <w:r>
        <w:t xml:space="preserve"> </w:t>
      </w:r>
      <w:r>
        <w:t xml:space="preserve">310 000,00 zł [Źródło 1].</w:t>
      </w:r>
    </w:p>
    <w:p>
      <w:pPr>
        <w:pStyle w:val="Compact"/>
        <w:numPr>
          <w:ilvl w:val="0"/>
          <w:numId w:val="1014"/>
        </w:numPr>
      </w:pPr>
      <w:r>
        <w:rPr>
          <w:b/>
          <w:bCs/>
        </w:rPr>
        <w:t xml:space="preserve">Odsetki ustawowe za opóźnienie od wpłaconych kwot:</w:t>
      </w:r>
    </w:p>
    <w:p>
      <w:pPr>
        <w:pStyle w:val="Compact"/>
        <w:numPr>
          <w:ilvl w:val="1"/>
          <w:numId w:val="1015"/>
        </w:numPr>
      </w:pPr>
      <w:r>
        <w:t xml:space="preserve">Od 62 000,00 zł (zadatek) od 23.03.2024 r. (następnego dnia po wpłacie) do dnia zapłaty.</w:t>
      </w:r>
    </w:p>
    <w:p>
      <w:pPr>
        <w:pStyle w:val="Compact"/>
        <w:numPr>
          <w:ilvl w:val="1"/>
          <w:numId w:val="1015"/>
        </w:numPr>
      </w:pPr>
      <w:r>
        <w:t xml:space="preserve">Od 248 000,00 zł (II transza) od 16.02.2025 r. (następnego dnia po wpłacie) do dnia zapłaty.</w:t>
      </w:r>
    </w:p>
    <w:p>
      <w:pPr>
        <w:pStyle w:val="Compact"/>
        <w:numPr>
          <w:ilvl w:val="1"/>
          <w:numId w:val="1015"/>
        </w:numPr>
      </w:pPr>
      <w:r>
        <w:rPr>
          <w:b/>
          <w:bCs/>
        </w:rPr>
        <w:t xml:space="preserve">Sposób obliczenia odsetek:</w:t>
      </w:r>
      <w:r>
        <w:t xml:space="preserve"> </w:t>
      </w:r>
      <w:r>
        <w:t xml:space="preserve">Odsetki ustawowe za opóźnienie (w wysokości wynikającej z rozporządzenia Rady Ministrów na dany okres) naliczane od każdej kwoty od dnia następującego po dacie wpłaty do dnia faktycznej zapłaty.</w:t>
      </w:r>
    </w:p>
    <w:p>
      <w:pPr>
        <w:pStyle w:val="Compact"/>
        <w:numPr>
          <w:ilvl w:val="0"/>
          <w:numId w:val="1014"/>
        </w:numPr>
      </w:pPr>
      <w:r>
        <w:rPr>
          <w:b/>
          <w:bCs/>
        </w:rPr>
        <w:t xml:space="preserve">Odszkodowanie (szkoda rzeczywista):</w:t>
      </w:r>
    </w:p>
    <w:p>
      <w:pPr>
        <w:pStyle w:val="Compact"/>
        <w:numPr>
          <w:ilvl w:val="1"/>
          <w:numId w:val="1016"/>
        </w:numPr>
      </w:pPr>
      <w:r>
        <w:rPr>
          <w:b/>
          <w:bCs/>
        </w:rPr>
        <w:t xml:space="preserve">Koszty zastępstwa procesowego:</w:t>
      </w:r>
      <w:r>
        <w:t xml:space="preserve"> </w:t>
      </w:r>
      <w:r>
        <w:t xml:space="preserve">Wysokość zgodna z przepisami rozporządzenia Ministra Sprawiedliwości w sprawie opłat za czynności adwokackie/radców prawnych.</w:t>
      </w:r>
    </w:p>
    <w:p>
      <w:pPr>
        <w:pStyle w:val="Compact"/>
        <w:numPr>
          <w:ilvl w:val="1"/>
          <w:numId w:val="1016"/>
        </w:numPr>
      </w:pPr>
      <w:r>
        <w:rPr>
          <w:b/>
          <w:bCs/>
        </w:rPr>
        <w:t xml:space="preserve">Koszty opinii rzeczoznawcy:</w:t>
      </w:r>
      <w:r>
        <w:t xml:space="preserve"> </w:t>
      </w:r>
      <w:r>
        <w:t xml:space="preserve">Jeśli zostaną poniesione przez klienta w celu wykazania stanu inwestycji i wartości lokalu.</w:t>
      </w:r>
    </w:p>
    <w:p>
      <w:pPr>
        <w:pStyle w:val="Compact"/>
        <w:numPr>
          <w:ilvl w:val="1"/>
          <w:numId w:val="1016"/>
        </w:numPr>
      </w:pPr>
      <w:r>
        <w:rPr>
          <w:b/>
          <w:bCs/>
        </w:rPr>
        <w:t xml:space="preserve">Koszty związane z poszukiwaniem nowego lokalu, wynajmem tymczasowym:</w:t>
      </w:r>
      <w:r>
        <w:t xml:space="preserve"> </w:t>
      </w:r>
      <w:r>
        <w:t xml:space="preserve">Jeśli Pan M. K. poniósł szkodę w wyniku konieczności zabezpieczenia sobie innego miejsca zamieszkania z powodu braku lokalu deweloperskiego.</w:t>
      </w:r>
    </w:p>
    <w:p>
      <w:pPr>
        <w:pStyle w:val="Compact"/>
        <w:numPr>
          <w:ilvl w:val="1"/>
          <w:numId w:val="1016"/>
        </w:numPr>
      </w:pPr>
      <w:r>
        <w:rPr>
          <w:b/>
          <w:bCs/>
        </w:rPr>
        <w:t xml:space="preserve">Strata wartości rynkowej:</w:t>
      </w:r>
      <w:r>
        <w:t xml:space="preserve"> </w:t>
      </w:r>
      <w:r>
        <w:t xml:space="preserve">Jeśli rynkowa wartość nabytego lokalu wzrosła, a z powodu działania dewelopera klient utracił możliwość nabycia go po pierwotnej cenie.</w:t>
      </w:r>
    </w:p>
    <w:p>
      <w:pPr>
        <w:pStyle w:val="FirstParagraph"/>
      </w:pPr>
      <w:r>
        <w:rPr>
          <w:b/>
          <w:bCs/>
        </w:rPr>
        <w:t xml:space="preserve">Roszczenie minimalne:</w:t>
      </w:r>
      <w:r>
        <w:t xml:space="preserve"> </w:t>
      </w:r>
      <w:r>
        <w:t xml:space="preserve">Zwrot 310 000,00 zł plus odsetki ustawowe za opóźnienie.</w:t>
      </w:r>
      <w:r>
        <w:t xml:space="preserve"> </w:t>
      </w:r>
      <w:r>
        <w:rPr>
          <w:b/>
          <w:bCs/>
        </w:rPr>
        <w:t xml:space="preserve">Roszczenie maksymalne:</w:t>
      </w:r>
      <w:r>
        <w:t xml:space="preserve"> </w:t>
      </w:r>
      <w:r>
        <w:t xml:space="preserve">Zwrot 310 000,00 zł, odsetki ustawowe za opóźnienie, oraz odszkodowanie obejmujące wszystkie udowodnione straty (np. różnica w cenie nabycia podobnego lokalu, koszty wynajmu, utracone korzyści, koszty zastępstwa procesowego).</w:t>
      </w:r>
    </w:p>
    <w:bookmarkEnd w:id="19"/>
    <w:bookmarkStart w:id="20" w:name="roszczenia-dewelopera-kontrargumentacja"/>
    <w:p>
      <w:pPr>
        <w:pStyle w:val="Heading3"/>
      </w:pPr>
      <w:r>
        <w:t xml:space="preserve">Roszczenia dewelopera (kontrargumentacja):</w:t>
      </w:r>
    </w:p>
    <w:p>
      <w:pPr>
        <w:pStyle w:val="Compact"/>
        <w:numPr>
          <w:ilvl w:val="0"/>
          <w:numId w:val="1017"/>
        </w:numPr>
      </w:pPr>
      <w:r>
        <w:rPr>
          <w:b/>
          <w:bCs/>
        </w:rPr>
        <w:t xml:space="preserve">Kara umowna w wysokości 62 000,00 zł:</w:t>
      </w:r>
      <w:r>
        <w:t xml:space="preserve"> </w:t>
      </w:r>
      <w:r>
        <w:t xml:space="preserve">Roszczenie jest prawdopodobnie bezzasadne. Odmowa akceptacji aneksu z podwyżką ceny nie stanowi niewykonania zobowiązania przez nabywcę, za które można by zastrzec karę umowną. Argumentacja klienta powinna opierać się na tym, że §10 ust. 2 umowy jest klauzulą abuzywną lub sprzeczną z ustawą/zasadami współżycia społecznego, a zatem nie wiąże Pana M. K.a.</w:t>
      </w:r>
    </w:p>
    <w:p>
      <w:pPr>
        <w:pStyle w:val="Compact"/>
        <w:numPr>
          <w:ilvl w:val="0"/>
          <w:numId w:val="1017"/>
        </w:numPr>
      </w:pPr>
      <w:r>
        <w:rPr>
          <w:b/>
          <w:bCs/>
        </w:rPr>
        <w:t xml:space="preserve">Koszty administracyjne 5 000,00 zł:</w:t>
      </w:r>
      <w:r>
        <w:t xml:space="preserve"> </w:t>
      </w:r>
      <w:r>
        <w:t xml:space="preserve">Deweloper musiałby udowodnić poniesienie tych kosztów i ich związek z działaniem Pana M. K.a. Roszczenie to jest również wątpliwe. Zgodnie z orzecznictwem (por. sprawa [2], [4]), ciężar dowodu spoczywa na stronie, która wywodzi z faktu skutki prawne (art. 6 KC). Deweloper będzie musiał wykazać nie tylko sam fakt poniesienia kosztów, ale także ich zasadność i brak możliwości ich pokrycia w inny sposób, a także ich związek z odmową klienta.</w:t>
      </w:r>
    </w:p>
    <w:bookmarkEnd w:id="20"/>
    <w:bookmarkEnd w:id="21"/>
    <w:bookmarkStart w:id="26" w:name="iv.-rejestr-ryzyk-i-szans"/>
    <w:p>
      <w:pPr>
        <w:pStyle w:val="Heading2"/>
      </w:pPr>
      <w:r>
        <w:t xml:space="preserve">IV. Rejestr ryzyk i szans</w:t>
      </w:r>
    </w:p>
    <w:bookmarkStart w:id="22" w:name="mocne-strony-sprawy-klienta-szanse"/>
    <w:p>
      <w:pPr>
        <w:pStyle w:val="Heading3"/>
      </w:pPr>
      <w:r>
        <w:t xml:space="preserve">Mocne strony sprawy klienta (Szanse):</w:t>
      </w:r>
    </w:p>
    <w:p>
      <w:pPr>
        <w:pStyle w:val="Compact"/>
        <w:numPr>
          <w:ilvl w:val="0"/>
          <w:numId w:val="1018"/>
        </w:numPr>
      </w:pPr>
      <w:r>
        <w:rPr>
          <w:b/>
          <w:bCs/>
        </w:rPr>
        <w:t xml:space="preserve">Naruszenie ustawy deweloperskiej:</w:t>
      </w:r>
      <w:r>
        <w:t xml:space="preserve"> </w:t>
      </w:r>
      <w:r>
        <w:t xml:space="preserve">Brak rachunku powierniczego i brak wpisu w księdze wieczystej to rażące naruszenia obowiązków dewelopera, które stanowią silną podstawę do uznania jego działań za bezprawne [Źródło 1].</w:t>
      </w:r>
    </w:p>
    <w:p>
      <w:pPr>
        <w:pStyle w:val="Compact"/>
        <w:numPr>
          <w:ilvl w:val="0"/>
          <w:numId w:val="1018"/>
        </w:numPr>
      </w:pPr>
      <w:r>
        <w:rPr>
          <w:b/>
          <w:bCs/>
        </w:rPr>
        <w:t xml:space="preserve">Klauzule abuzywne/nieważne:</w:t>
      </w:r>
      <w:r>
        <w:t xml:space="preserve"> </w:t>
      </w:r>
      <w:r>
        <w:t xml:space="preserve">§5 ust. 2 i §10 ust. 2 umowy (jednostronne przedłużanie terminu, podwyższanie ceny, wypowiedzenie umowy) mają wysokie ryzyko uznania za abuzywne w stosunkach z konsumentem lub sprzeczne z przepisami prawa/zasadami współżycia społecznego. Orzecznictwo w sprawach konsumenckich (por. [7], [8]) silnie wspiera taką argumentację.</w:t>
      </w:r>
    </w:p>
    <w:p>
      <w:pPr>
        <w:pStyle w:val="Compact"/>
        <w:numPr>
          <w:ilvl w:val="0"/>
          <w:numId w:val="1018"/>
        </w:numPr>
      </w:pPr>
      <w:r>
        <w:rPr>
          <w:b/>
          <w:bCs/>
        </w:rPr>
        <w:t xml:space="preserve">Jednostronne wypowiedzenie:</w:t>
      </w:r>
      <w:r>
        <w:t xml:space="preserve"> </w:t>
      </w:r>
      <w:r>
        <w:t xml:space="preserve">Wypowiedzenie umowy przez dewelopera z powodu braku akceptacji aneksu wprowadzającego podwyżkę ceny jest prawdopodobnie bezskuteczne.</w:t>
      </w:r>
    </w:p>
    <w:p>
      <w:pPr>
        <w:pStyle w:val="Compact"/>
        <w:numPr>
          <w:ilvl w:val="0"/>
          <w:numId w:val="1018"/>
        </w:numPr>
      </w:pPr>
      <w:r>
        <w:rPr>
          <w:b/>
          <w:bCs/>
        </w:rPr>
        <w:t xml:space="preserve">Roszczenia dewelopera:</w:t>
      </w:r>
      <w:r>
        <w:t xml:space="preserve"> </w:t>
      </w:r>
      <w:r>
        <w:t xml:space="preserve">Żądanie kary umownej i kosztów administracyjnych jest prawdopodobnie bezzasadne, a deweloper będzie miał trudności z ich udowodnieniem.</w:t>
      </w:r>
    </w:p>
    <w:p>
      <w:pPr>
        <w:pStyle w:val="Compact"/>
        <w:numPr>
          <w:ilvl w:val="0"/>
          <w:numId w:val="1018"/>
        </w:numPr>
      </w:pPr>
      <w:r>
        <w:rPr>
          <w:b/>
          <w:bCs/>
        </w:rPr>
        <w:t xml:space="preserve">Wysoka wpłacona kwota:</w:t>
      </w:r>
      <w:r>
        <w:t xml:space="preserve"> </w:t>
      </w:r>
      <w:r>
        <w:t xml:space="preserve">Znaczna suma wpłaconych środków (310 000,00 zł) motywuje do intensywnych działań prawnych [Źródło 1].</w:t>
      </w:r>
    </w:p>
    <w:bookmarkEnd w:id="22"/>
    <w:bookmarkStart w:id="23" w:name="słabe-strony-sprawy-klienta-ryzyka"/>
    <w:p>
      <w:pPr>
        <w:pStyle w:val="Heading3"/>
      </w:pPr>
      <w:r>
        <w:t xml:space="preserve">Słabe strony sprawy klienta (Ryzyka):</w:t>
      </w:r>
    </w:p>
    <w:p>
      <w:pPr>
        <w:pStyle w:val="Compact"/>
        <w:numPr>
          <w:ilvl w:val="0"/>
          <w:numId w:val="1019"/>
        </w:numPr>
      </w:pPr>
      <w:r>
        <w:rPr>
          <w:b/>
          <w:bCs/>
        </w:rPr>
        <w:t xml:space="preserve">Brak pełnego tekstu umowy deweloperskiej:</w:t>
      </w:r>
      <w:r>
        <w:t xml:space="preserve"> </w:t>
      </w:r>
      <w:r>
        <w:t xml:space="preserve">Szczegółowa ocena klauzul wymaga analizy całej umowy oraz przepisów ustawy deweloperskiej, których nie mamy w pełnym brzmieniu w dostarczonym stanie prawnym.</w:t>
      </w:r>
    </w:p>
    <w:p>
      <w:pPr>
        <w:pStyle w:val="Compact"/>
        <w:numPr>
          <w:ilvl w:val="0"/>
          <w:numId w:val="1019"/>
        </w:numPr>
      </w:pPr>
      <w:r>
        <w:rPr>
          <w:b/>
          <w:bCs/>
        </w:rPr>
        <w:t xml:space="preserve">Długotrwałość postępowania sądowego:</w:t>
      </w:r>
      <w:r>
        <w:t xml:space="preserve"> </w:t>
      </w:r>
      <w:r>
        <w:t xml:space="preserve">Sprawy budowlane i deweloperskie bywają skomplikowane i mogą trwać wiele lat, generując znaczne koszty prawne.</w:t>
      </w:r>
    </w:p>
    <w:p>
      <w:pPr>
        <w:pStyle w:val="Compact"/>
        <w:numPr>
          <w:ilvl w:val="0"/>
          <w:numId w:val="1019"/>
        </w:numPr>
      </w:pPr>
      <w:r>
        <w:rPr>
          <w:b/>
          <w:bCs/>
        </w:rPr>
        <w:t xml:space="preserve">Ryzyko niewypłacalności dewelopera:</w:t>
      </w:r>
      <w:r>
        <w:t xml:space="preserve"> </w:t>
      </w:r>
      <w:r>
        <w:t xml:space="preserve">W przypadku uznania roszczeń klienta, ich faktyczne odzyskanie będzie zależało od kondycji finansowej dewelopera. Brak rachunku powierniczego zwiększa to ryzyko [Źródło 1].</w:t>
      </w:r>
    </w:p>
    <w:p>
      <w:pPr>
        <w:pStyle w:val="Compact"/>
        <w:numPr>
          <w:ilvl w:val="0"/>
          <w:numId w:val="1019"/>
        </w:numPr>
      </w:pPr>
      <w:r>
        <w:rPr>
          <w:b/>
          <w:bCs/>
        </w:rPr>
        <w:t xml:space="preserve">Kwestia dowodowa w zakresie szkody:</w:t>
      </w:r>
      <w:r>
        <w:t xml:space="preserve"> </w:t>
      </w:r>
      <w:r>
        <w:t xml:space="preserve">Udowodnienie wysokości pełnego odszkodowania (poza zwrotem wpłat i odsetek) może być trudne i wymagać dodatkowych ekspertyz.</w:t>
      </w:r>
    </w:p>
    <w:bookmarkEnd w:id="23"/>
    <w:bookmarkStart w:id="24" w:name="X5169a57d0dc9c4b56966bce11108ffa8d01f094"/>
    <w:p>
      <w:pPr>
        <w:pStyle w:val="Heading3"/>
      </w:pPr>
      <w:r>
        <w:t xml:space="preserve">Kontrargumenty strony przeciwnej (Dewelopera):</w:t>
      </w:r>
    </w:p>
    <w:p>
      <w:pPr>
        <w:pStyle w:val="Compact"/>
        <w:numPr>
          <w:ilvl w:val="0"/>
          <w:numId w:val="1020"/>
        </w:numPr>
      </w:pPr>
      <w:r>
        <w:rPr>
          <w:b/>
          <w:bCs/>
        </w:rPr>
        <w:t xml:space="preserve">Zgodność aneksu z umową:</w:t>
      </w:r>
      <w:r>
        <w:t xml:space="preserve"> </w:t>
      </w:r>
      <w:r>
        <w:t xml:space="preserve">Deweloper będzie twierdził, że aneks i możliwość wypowiedzenia umowy były przewidziane w §10 ust. 2 umowy i są ważne [Źródło 1].</w:t>
      </w:r>
    </w:p>
    <w:p>
      <w:pPr>
        <w:pStyle w:val="Compact"/>
        <w:numPr>
          <w:ilvl w:val="0"/>
          <w:numId w:val="1020"/>
        </w:numPr>
      </w:pPr>
      <w:r>
        <w:rPr>
          <w:b/>
          <w:bCs/>
        </w:rPr>
        <w:t xml:space="preserve">Wzrost kosztów:</w:t>
      </w:r>
      <w:r>
        <w:t xml:space="preserve"> </w:t>
      </w:r>
      <w:r>
        <w:t xml:space="preserve">Będzie argumentował, że wzrost kosztów był niezależny od niego i uzasadniał zmianę ceny, powołując się na §5 ust. 2 umowy [Źródło 1].</w:t>
      </w:r>
    </w:p>
    <w:p>
      <w:pPr>
        <w:pStyle w:val="Compact"/>
        <w:numPr>
          <w:ilvl w:val="0"/>
          <w:numId w:val="1020"/>
        </w:numPr>
      </w:pPr>
      <w:r>
        <w:rPr>
          <w:b/>
          <w:bCs/>
        </w:rPr>
        <w:t xml:space="preserve">Akceptacja ryzyka:</w:t>
      </w:r>
      <w:r>
        <w:t xml:space="preserve"> </w:t>
      </w:r>
      <w:r>
        <w:t xml:space="preserve">Może podnosić, że klient był świadomy ryzyka i zaakceptował warunki umowy (co do zasady rzadko skuteczne w relacjach z konsumentami).</w:t>
      </w:r>
    </w:p>
    <w:p>
      <w:pPr>
        <w:pStyle w:val="Compact"/>
        <w:numPr>
          <w:ilvl w:val="0"/>
          <w:numId w:val="1020"/>
        </w:numPr>
      </w:pPr>
      <w:r>
        <w:rPr>
          <w:b/>
          <w:bCs/>
        </w:rPr>
        <w:t xml:space="preserve">Zasada</w:t>
      </w:r>
      <w:r>
        <w:rPr>
          <w:b/>
          <w:bCs/>
        </w:rPr>
        <w:t xml:space="preserve"> </w:t>
      </w:r>
      <w:r>
        <w:rPr>
          <w:b/>
          <w:bCs/>
          <w:i/>
          <w:iCs/>
        </w:rPr>
        <w:t xml:space="preserve">pacta sunt servanda</w:t>
      </w:r>
      <w:r>
        <w:rPr>
          <w:b/>
          <w:bCs/>
        </w:rPr>
        <w:t xml:space="preserve">:</w:t>
      </w:r>
      <w:r>
        <w:t xml:space="preserve"> </w:t>
      </w:r>
      <w:r>
        <w:t xml:space="preserve">Deweloper może odwoływać się do zasady dotrzymywania umów, próbując przerzucić odpowiedzialność za rozwiązanie umowy na klienta. Argument ten był podnoszony w sprawie [7] przez ubezpieczyciela.</w:t>
      </w:r>
    </w:p>
    <w:p>
      <w:pPr>
        <w:pStyle w:val="Compact"/>
        <w:numPr>
          <w:ilvl w:val="0"/>
          <w:numId w:val="1020"/>
        </w:numPr>
      </w:pPr>
      <w:r>
        <w:rPr>
          <w:b/>
          <w:bCs/>
        </w:rPr>
        <w:t xml:space="preserve">Zasady współżycia społecznego (art. 5 KC):</w:t>
      </w:r>
      <w:r>
        <w:t xml:space="preserve"> </w:t>
      </w:r>
      <w:r>
        <w:t xml:space="preserve">Deweloper może próbować argumentować, że roszczenia klienta naruszają zasady współżycia społecznego (por. sprawa [6], [7]). Jednak sądy często odrzucają ten zarzut, jeśli jest sprzeczny z celem przepisów ochronnych.</w:t>
      </w:r>
    </w:p>
    <w:bookmarkEnd w:id="24"/>
    <w:bookmarkStart w:id="25" w:name="rekomendowana-strategia"/>
    <w:p>
      <w:pPr>
        <w:pStyle w:val="Heading3"/>
      </w:pPr>
      <w:r>
        <w:t xml:space="preserve">Rekomendowana strategia:</w:t>
      </w:r>
    </w:p>
    <w:p>
      <w:pPr>
        <w:pStyle w:val="FirstParagraph"/>
      </w:pPr>
      <w:r>
        <w:t xml:space="preserve">Rekomendowana strategia to</w:t>
      </w:r>
      <w:r>
        <w:t xml:space="preserve"> </w:t>
      </w:r>
      <w:r>
        <w:rPr>
          <w:b/>
          <w:bCs/>
        </w:rPr>
        <w:t xml:space="preserve">postępowanie przedsądowe, a następnie sądowe</w:t>
      </w:r>
      <w:r>
        <w:t xml:space="preserve"> </w:t>
      </w:r>
      <w:r>
        <w:t xml:space="preserve">z silnym akcentem na ochronę konsumenta i zabezpieczenie roszczeń.</w:t>
      </w:r>
    </w:p>
    <w:p>
      <w:pPr>
        <w:pStyle w:val="Compact"/>
        <w:numPr>
          <w:ilvl w:val="0"/>
          <w:numId w:val="1021"/>
        </w:numPr>
      </w:pPr>
      <w:r>
        <w:rPr>
          <w:b/>
          <w:bCs/>
        </w:rPr>
        <w:t xml:space="preserve">Postępowanie przedsądowe (Wezwanie przedsądowe):</w:t>
      </w:r>
      <w:r>
        <w:t xml:space="preserve"> </w:t>
      </w:r>
      <w:r>
        <w:t xml:space="preserve">Jest to pierwszy i konieczny krok. Należy sformułować stanowcze wezwanie do dewelopera, domagając się uznania wypowiedzenia za bezskuteczne i kontynuowania umowy, albo, alternatywnie, natychmiastowego zwrotu wszystkich wpłaconych środków wraz z odsetkami i odszkodowaniem, oraz zaprzestania działań windykacyjnych [Źródło 1, 2].</w:t>
      </w:r>
    </w:p>
    <w:p>
      <w:pPr>
        <w:pStyle w:val="Compact"/>
        <w:numPr>
          <w:ilvl w:val="0"/>
          <w:numId w:val="1021"/>
        </w:numPr>
      </w:pPr>
      <w:r>
        <w:rPr>
          <w:b/>
          <w:bCs/>
        </w:rPr>
        <w:t xml:space="preserve">Zawiadomienie UOKiK / Rzecznika Praw Konsumentów:</w:t>
      </w:r>
      <w:r>
        <w:t xml:space="preserve"> </w:t>
      </w:r>
      <w:r>
        <w:t xml:space="preserve">Równolegle z wezwaniem przedsądowym, należy zawiadomić odpowiednie organy o działaniach dewelopera, co może wzmocnić pozycję klienta.</w:t>
      </w:r>
    </w:p>
    <w:p>
      <w:pPr>
        <w:pStyle w:val="Compact"/>
        <w:numPr>
          <w:ilvl w:val="0"/>
          <w:numId w:val="1021"/>
        </w:numPr>
      </w:pPr>
      <w:r>
        <w:rPr>
          <w:b/>
          <w:bCs/>
        </w:rPr>
        <w:t xml:space="preserve">Postępowanie sądowe (Pozew cywilny):</w:t>
      </w:r>
      <w:r>
        <w:t xml:space="preserve"> </w:t>
      </w:r>
      <w:r>
        <w:t xml:space="preserve">W przypadku braku satysfakcjonującej odpowiedzi dewelopera, należy złożyć pozew do sądu. Celem pozwu będzie ustalenie bezskuteczności wypowiedzenia i nakazanie dokończenia inwestycji/przeniesienia własności, a w razie niemożności lub bezcelowości tego, zasądzenie zwrotu wpłaconych kwot wraz z odsetkami i odszkodowaniem [Źródło 2].</w:t>
      </w:r>
    </w:p>
    <w:p>
      <w:pPr>
        <w:pStyle w:val="Compact"/>
        <w:numPr>
          <w:ilvl w:val="0"/>
          <w:numId w:val="1021"/>
        </w:numPr>
      </w:pPr>
      <w:r>
        <w:rPr>
          <w:b/>
          <w:bCs/>
        </w:rPr>
        <w:t xml:space="preserve">Wniosek o zabezpieczenie powództwa:</w:t>
      </w:r>
      <w:r>
        <w:t xml:space="preserve"> </w:t>
      </w:r>
      <w:r>
        <w:t xml:space="preserve">Należy niezwłocznie złożyć wniosek o zabezpieczenie powództwa (np. poprzez ustanowienie zakazu rozporządzania prawami do inwestycji, ustanowienie hipoteki przymusowej na majątku dewelopera, lub zajęcie rachunków bankowych dewelopera), aby zminimalizować ryzyko niewypłacalności dewelopera i utraty środków [Źródło 2].</w:t>
      </w:r>
    </w:p>
    <w:bookmarkEnd w:id="25"/>
    <w:bookmarkEnd w:id="26"/>
    <w:bookmarkStart w:id="30" w:name="X175637cd7094a07b6fbc142c081a3d1af02f4c8"/>
    <w:p>
      <w:pPr>
        <w:pStyle w:val="Heading2"/>
      </w:pPr>
      <w:r>
        <w:t xml:space="preserve">V. Projekty pism wskazanych w części IV kazusu</w:t>
      </w:r>
    </w:p>
    <w:bookmarkStart w:id="27" w:name="opinia-prawna-dla-klienta-elementy"/>
    <w:p>
      <w:pPr>
        <w:pStyle w:val="Heading3"/>
      </w:pPr>
      <w:r>
        <w:t xml:space="preserve">1. Opinia prawna dla klienta (elementy)</w:t>
      </w:r>
    </w:p>
    <w:p>
      <w:pPr>
        <w:pStyle w:val="FirstParagraph"/>
      </w:pPr>
      <w:r>
        <w:t xml:space="preserve">(Ze względu na obszerność, przedstawiam kluczowe elementy opinii, które miałyby objąć 6-8 stron):</w:t>
      </w:r>
    </w:p>
    <w:p>
      <w:pPr>
        <w:pStyle w:val="BodyText"/>
      </w:pPr>
      <w:r>
        <w:rPr>
          <w:b/>
          <w:bCs/>
        </w:rPr>
        <w:t xml:space="preserve">OPINIA PRAWNA</w:t>
      </w:r>
      <w:r>
        <w:t xml:space="preserve"> </w:t>
      </w:r>
      <w:r>
        <w:rPr>
          <w:b/>
          <w:bCs/>
        </w:rPr>
        <w:t xml:space="preserve">Dla:</w:t>
      </w:r>
      <w:r>
        <w:t xml:space="preserve"> </w:t>
      </w:r>
      <w:r>
        <w:t xml:space="preserve">M. K.</w:t>
      </w:r>
      <w:r>
        <w:t xml:space="preserve"> </w:t>
      </w:r>
      <w:r>
        <w:rPr>
          <w:b/>
          <w:bCs/>
        </w:rPr>
        <w:t xml:space="preserve">Dotyczy:</w:t>
      </w:r>
      <w:r>
        <w:t xml:space="preserve"> </w:t>
      </w:r>
      <w:r>
        <w:t xml:space="preserve">Umowy deweloperskiej nr D-████/███ z dnia 20 marca 2024 r. zawartej ze Spółką Deweloperską</w:t>
      </w:r>
      <w:r>
        <w:t xml:space="preserve"> </w:t>
      </w:r>
      <w:r>
        <w:t xml:space="preserve">“D. sp. z o.o.”</w:t>
      </w:r>
      <w:r>
        <w:t xml:space="preserve"> </w:t>
      </w:r>
      <w:r>
        <w:t xml:space="preserve">Sp. z o.o.</w:t>
      </w:r>
    </w:p>
    <w:p>
      <w:pPr>
        <w:pStyle w:val="BodyText"/>
      </w:pPr>
      <w:r>
        <w:rPr>
          <w:b/>
          <w:bCs/>
        </w:rPr>
        <w:t xml:space="preserve">1. Przedmiot i cel opinii:</w:t>
      </w:r>
      <w:r>
        <w:t xml:space="preserve"> </w:t>
      </w:r>
      <w:r>
        <w:t xml:space="preserve">Celem niniejszej opinii jest analiza stanu prawnego w sprawie umowy deweloperskiej nr D-████/███, ocena ważności kluczowych postanowień umownych, skuteczności wypowiedzenia umowy przez dewelopera oraz określenie możliwych roszczeń i rekomendowanych dalszych działań.</w:t>
      </w:r>
    </w:p>
    <w:p>
      <w:pPr>
        <w:pStyle w:val="BodyText"/>
      </w:pPr>
      <w:r>
        <w:rPr>
          <w:b/>
          <w:bCs/>
        </w:rPr>
        <w:t xml:space="preserve">2. Stan faktyczny (szczegółowy opis z kazusu):</w:t>
      </w:r>
      <w:r>
        <w:t xml:space="preserve"> </w:t>
      </w:r>
      <w:r>
        <w:t xml:space="preserve">Powtórzenie kluczowych faktów z kazusu, w tym danych stron, przedmiotu umowy, harmonogramu wpłat, braku rachunku powierniczego, terminów, propozycji aneksu, odmowy akceptacji i wypowiedzenia umowy przez dewelopera wraz z jego roszczeniami [Źródło 1].</w:t>
      </w:r>
    </w:p>
    <w:p>
      <w:pPr>
        <w:pStyle w:val="BodyText"/>
      </w:pPr>
      <w:r>
        <w:rPr>
          <w:b/>
          <w:bCs/>
        </w:rPr>
        <w:t xml:space="preserve">3. Kwalifikacja prawna stanu faktycznego:</w:t>
      </w:r>
      <w:r>
        <w:t xml:space="preserve"> </w:t>
      </w:r>
      <w:r>
        <w:t xml:space="preserve">Szczegółowe omówienie statusu klienta jako konsumenta, dewelopera jako przedsiębiorcy oraz charakteru prawnego umowy deweloperskiej (umowa nazwana, ustawa deweloperska). Wskazanie na charakter ochronny przepisów ustawy deweloperskiej.</w:t>
      </w:r>
    </w:p>
    <w:p>
      <w:pPr>
        <w:pStyle w:val="BodyText"/>
      </w:pPr>
      <w:r>
        <w:rPr>
          <w:b/>
          <w:bCs/>
        </w:rPr>
        <w:t xml:space="preserve">4. Analiza ważności poszczególnych klauzul Umowy:</w:t>
      </w:r>
      <w:r>
        <w:t xml:space="preserve"> </w:t>
      </w:r>
      <w:r>
        <w:t xml:space="preserve">*</w:t>
      </w:r>
      <w:r>
        <w:t xml:space="preserve"> </w:t>
      </w:r>
      <w:r>
        <w:rPr>
          <w:b/>
          <w:bCs/>
        </w:rPr>
        <w:t xml:space="preserve">Klauzula dotycząca rachunku powierniczego:</w:t>
      </w:r>
      <w:r>
        <w:t xml:space="preserve"> </w:t>
      </w:r>
      <w:r>
        <w:t xml:space="preserve">Stwierdzenie naruszenia bezwzględnie obowiązujących przepisów ustawy deweloperskiej poprzez przyjmowanie wpłat na zwykły rachunek bankowy dewelopera [Źródło 1]. Ocena konsekwencji tego naruszenia dla ważności umowy i roszczeń odszkodowawczych.</w:t>
      </w:r>
      <w:r>
        <w:t xml:space="preserve"> </w:t>
      </w:r>
      <w:r>
        <w:t xml:space="preserve">*</w:t>
      </w:r>
      <w:r>
        <w:t xml:space="preserve"> </w:t>
      </w:r>
      <w:r>
        <w:rPr>
          <w:b/>
          <w:bCs/>
        </w:rPr>
        <w:t xml:space="preserve">Klauzula w §5 ust. 2 (możliwość przedłużenia terminu o ██ miesięcy z</w:t>
      </w:r>
      <w:r>
        <w:rPr>
          <w:b/>
          <w:bCs/>
        </w:rPr>
        <w:t xml:space="preserve"> </w:t>
      </w:r>
      <w:r>
        <w:rPr>
          <w:b/>
          <w:bCs/>
        </w:rPr>
        <w:t xml:space="preserve">“przyczyn niezależnych”</w:t>
      </w:r>
      <w:r>
        <w:rPr>
          <w:b/>
          <w:bCs/>
        </w:rPr>
        <w:t xml:space="preserve">):</w:t>
      </w:r>
      <w:r>
        <w:t xml:space="preserve"> </w:t>
      </w:r>
      <w:r>
        <w:t xml:space="preserve">Analiza pod kątem art. 385¹ Kodeksu cywilnego (niedozwolone klauzule umowne). Argumentacja, że jest to klauzula abuzywna, rażąco naruszająca interesy konsumenta i sprzeczna z dobrymi obyczajami, przerzucająca ryzyko biznesowe dewelopera na nabywcę. Podkreślenie braku indywidualnego uzgodnienia.</w:t>
      </w:r>
      <w:r>
        <w:t xml:space="preserve"> </w:t>
      </w:r>
      <w:r>
        <w:t xml:space="preserve">*</w:t>
      </w:r>
      <w:r>
        <w:t xml:space="preserve"> </w:t>
      </w:r>
      <w:r>
        <w:rPr>
          <w:b/>
          <w:bCs/>
        </w:rPr>
        <w:t xml:space="preserve">Klauzula w §10 ust. 2 (wypowiedzenie umowy w przypadku braku akceptacji aneksu):</w:t>
      </w:r>
      <w:r>
        <w:t xml:space="preserve"> </w:t>
      </w:r>
      <w:r>
        <w:t xml:space="preserve">Analiza pod kątem art. 58 KC (nieważność czynności prawnej) oraz przepisów o ochronie konsumenta. Argumentacja, że klauzula ta jest sprzeczna z bezwzględnie obowiązującymi przepisami ustawy deweloperskiej (jeśli takowe istnieją w pełnym brzmieniu ustawy deweloperskiej) lub z zasadami współżycia społecznego. Uzasadnienie, że wzrost kosztów budowy nie uprawnia dewelopera do jednostronnej zmiany ceny i wypowiedzenia umowy.</w:t>
      </w:r>
    </w:p>
    <w:p>
      <w:pPr>
        <w:pStyle w:val="BodyText"/>
      </w:pPr>
      <w:r>
        <w:rPr>
          <w:b/>
          <w:bCs/>
        </w:rPr>
        <w:t xml:space="preserve">5. Ocena skuteczności wypowiedzenia z 28.02.2025 r.:</w:t>
      </w:r>
      <w:r>
        <w:t xml:space="preserve"> </w:t>
      </w:r>
      <w:r>
        <w:t xml:space="preserve">Wypowiedzenie umowy przez dewelopera jest bezskuteczne ze względu na brak podstaw prawnych. Odmowa przyjęcia przez nabywcę niekorzystnego aneksu (podwyżka ceny, przesunięcie terminu) nie stanowi podstawy do rozwiązania umowy. Ocena ta opiera się na nieważności lub abuzywności klauzul uprawniających dewelopera do takich działań.</w:t>
      </w:r>
    </w:p>
    <w:p>
      <w:pPr>
        <w:pStyle w:val="BodyText"/>
      </w:pPr>
      <w:r>
        <w:rPr>
          <w:b/>
          <w:bCs/>
        </w:rPr>
        <w:t xml:space="preserve">6. Ocena możliwości dochodzenia zwrotu wpłaconych środków oraz roszczeń odszkodowawczych:</w:t>
      </w:r>
      <w:r>
        <w:t xml:space="preserve"> </w:t>
      </w:r>
      <w:r>
        <w:t xml:space="preserve">*</w:t>
      </w:r>
      <w:r>
        <w:t xml:space="preserve"> </w:t>
      </w:r>
      <w:r>
        <w:rPr>
          <w:b/>
          <w:bCs/>
        </w:rPr>
        <w:t xml:space="preserve">Zwrot wpłaconych środków:</w:t>
      </w:r>
      <w:r>
        <w:t xml:space="preserve"> </w:t>
      </w:r>
      <w:r>
        <w:t xml:space="preserve">W przypadku uznania wypowiedzenia za bezskuteczne, umowa nadal wiąże strony. Jeśli natomiast Sąd uzna, że umowa została skutecznie rozwiązana na skutek wadliwych działań dewelopera (np. jego naruszeń ustawy deweloperskiej lub klauzul abuzywnych), Pan M. K. ma prawo do zwrotu wszystkich wpłaconych środków (310 000,00 zł) wraz z odsetkami ustawowymi za opóźnienie od dat wpłat jako świadczenia nienależnego (art. 405 KC). Brak rachunku powierniczego stanowi poważne naruszenie ochrony środków nabywcy.</w:t>
      </w:r>
      <w:r>
        <w:t xml:space="preserve"> </w:t>
      </w:r>
      <w:r>
        <w:t xml:space="preserve">*</w:t>
      </w:r>
      <w:r>
        <w:t xml:space="preserve"> </w:t>
      </w:r>
      <w:r>
        <w:rPr>
          <w:b/>
          <w:bCs/>
        </w:rPr>
        <w:t xml:space="preserve">Odszkodowanie:</w:t>
      </w:r>
      <w:r>
        <w:t xml:space="preserve"> </w:t>
      </w:r>
      <w:r>
        <w:t xml:space="preserve">Klient ma prawo do żądania odszkodowania z tytułu niewykonania lub nienależytego wykonania umowy przez dewelopera (art. 471 KC). Obejmuje to wszelkie szkody rzeczywiste i utracone korzyści, takie jak koszty wynajmu, różnica w cenie nabycia porównywalnego lokalu, koszty zastępstwa procesowego.</w:t>
      </w:r>
    </w:p>
    <w:p>
      <w:pPr>
        <w:pStyle w:val="BodyText"/>
      </w:pPr>
      <w:r>
        <w:rPr>
          <w:b/>
          <w:bCs/>
        </w:rPr>
        <w:t xml:space="preserve">7. Rekomendowana strategia dalszych działań:</w:t>
      </w:r>
      <w:r>
        <w:t xml:space="preserve"> </w:t>
      </w:r>
      <w:r>
        <w:t xml:space="preserve">* Postępowanie przedsądowe (wezwanie do zapłaty i/lub przywrócenia umowy).</w:t>
      </w:r>
      <w:r>
        <w:t xml:space="preserve"> </w:t>
      </w:r>
      <w:r>
        <w:t xml:space="preserve">* Zawiadomienie UOKiK/Rzecznika Praw Konsumentów.</w:t>
      </w:r>
      <w:r>
        <w:t xml:space="preserve"> </w:t>
      </w:r>
      <w:r>
        <w:t xml:space="preserve">* Postępowanie sądowe: pozew o ustalenie/zapłatę.</w:t>
      </w:r>
      <w:r>
        <w:t xml:space="preserve"> </w:t>
      </w:r>
      <w:r>
        <w:t xml:space="preserve">* Wniosek o zabezpieczenie powództwa (szczegóły w pkt. 6 części III kazusu).</w:t>
      </w:r>
    </w:p>
    <w:p>
      <w:pPr>
        <w:pStyle w:val="BodyText"/>
      </w:pPr>
      <w:r>
        <w:rPr>
          <w:b/>
          <w:bCs/>
        </w:rPr>
        <w:t xml:space="preserve">8. Podsumowanie i wnioski.</w:t>
      </w:r>
    </w:p>
    <w:bookmarkEnd w:id="27"/>
    <w:bookmarkStart w:id="28" w:name="wezwanie-przedsądowe-do-d.-sp.-z-o.o."/>
    <w:p>
      <w:pPr>
        <w:pStyle w:val="Heading3"/>
      </w:pPr>
      <w:r>
        <w:t xml:space="preserve">2. Wezwanie przedsądowe do D. sp. z o.o.</w:t>
      </w:r>
    </w:p>
    <w:p>
      <w:pPr>
        <w:pStyle w:val="SourceCode"/>
      </w:pPr>
      <w:r>
        <w:rPr>
          <w:rStyle w:val="NormalTok"/>
        </w:rPr>
        <w:t xml:space="preserve">Warszawa, </w:t>
      </w:r>
      <w:r>
        <w:rPr>
          <w:rStyle w:val="CommentTok"/>
        </w:rPr>
        <w:t xml:space="preserve">[</w:t>
      </w:r>
      <w:r>
        <w:rPr>
          <w:rStyle w:val="OtherTok"/>
        </w:rPr>
        <w:t xml:space="preserve">Aktualna data</w:t>
      </w:r>
      <w:r>
        <w:rPr>
          <w:rStyle w:val="CommentTok"/>
        </w:rPr>
        <w:t xml:space="preserve">]</w:t>
      </w:r>
      <w:r>
        <w:br/>
      </w:r>
      <w:r>
        <w:br/>
      </w:r>
      <w:r>
        <w:rPr>
          <w:rStyle w:val="NormalTok"/>
        </w:rPr>
        <w:t xml:space="preserve">**M. K.**</w:t>
      </w:r>
      <w:r>
        <w:br/>
      </w:r>
      <w:r>
        <w:rPr>
          <w:rStyle w:val="NormalTok"/>
        </w:rPr>
        <w:t xml:space="preserve">PESEL ███████████</w:t>
      </w:r>
      <w:r>
        <w:br/>
      </w:r>
      <w:r>
        <w:rPr>
          <w:rStyle w:val="CommentTok"/>
        </w:rPr>
        <w:t xml:space="preserve">[</w:t>
      </w:r>
      <w:r>
        <w:rPr>
          <w:rStyle w:val="OtherTok"/>
        </w:rPr>
        <w:t xml:space="preserve">Adres zamieszkania Pana M. K.a</w:t>
      </w:r>
      <w:r>
        <w:rPr>
          <w:rStyle w:val="CommentTok"/>
        </w:rPr>
        <w:t xml:space="preserve">]</w:t>
      </w:r>
      <w:r>
        <w:br/>
      </w:r>
      <w:r>
        <w:br/>
      </w:r>
      <w:r>
        <w:rPr>
          <w:rStyle w:val="NormalTok"/>
        </w:rPr>
        <w:t xml:space="preserve">**Szanowny Panie / Szanowna Pani Prezes,**</w:t>
      </w:r>
      <w:r>
        <w:br/>
      </w:r>
      <w:r>
        <w:br/>
      </w:r>
      <w:r>
        <w:rPr>
          <w:rStyle w:val="NormalTok"/>
        </w:rPr>
        <w:t xml:space="preserve">**Spółka Deweloperska „D. sp. z o.o.” Sp. z o.o.**</w:t>
      </w:r>
      <w:r>
        <w:br/>
      </w:r>
      <w:r>
        <w:rPr>
          <w:rStyle w:val="NormalTok"/>
        </w:rPr>
        <w:t xml:space="preserve">KRS ██████████</w:t>
      </w:r>
      <w:r>
        <w:br/>
      </w:r>
      <w:r>
        <w:rPr>
          <w:rStyle w:val="NormalTok"/>
        </w:rPr>
        <w:t xml:space="preserve">ul. </w:t>
      </w:r>
      <w:r>
        <w:rPr>
          <w:rStyle w:val="CommentTok"/>
        </w:rPr>
        <w:t xml:space="preserve">[</w:t>
      </w:r>
      <w:r>
        <w:rPr>
          <w:rStyle w:val="OtherTok"/>
        </w:rPr>
        <w:t xml:space="preserve">Ulica dewelopera</w:t>
      </w:r>
      <w:r>
        <w:rPr>
          <w:rStyle w:val="CommentTok"/>
        </w:rPr>
        <w:t xml:space="preserve">]</w:t>
      </w:r>
      <w:r>
        <w:br/>
      </w:r>
      <w:r>
        <w:rPr>
          <w:rStyle w:val="CommentTok"/>
        </w:rPr>
        <w:t xml:space="preserve">[</w:t>
      </w:r>
      <w:r>
        <w:rPr>
          <w:rStyle w:val="OtherTok"/>
        </w:rPr>
        <w:t xml:space="preserve">Kod pocztowy</w:t>
      </w:r>
      <w:r>
        <w:rPr>
          <w:rStyle w:val="CommentTok"/>
        </w:rPr>
        <w:t xml:space="preserve">] [Miejscowość]</w:t>
      </w:r>
      <w:r>
        <w:br/>
      </w:r>
      <w:r>
        <w:rPr>
          <w:rStyle w:val="NormalTok"/>
        </w:rPr>
        <w:t xml:space="preserve">reprezentowana przez Prezesa Zarządu Annę Zielińską</w:t>
      </w:r>
      <w:r>
        <w:br/>
      </w:r>
      <w:r>
        <w:br/>
      </w:r>
      <w:r>
        <w:rPr>
          <w:rStyle w:val="NormalTok"/>
        </w:rPr>
        <w:t xml:space="preserve">**WEZWANIE PRZEDSĄDOWE**</w:t>
      </w:r>
      <w:r>
        <w:br/>
      </w:r>
      <w:r>
        <w:rPr>
          <w:rStyle w:val="NormalTok"/>
        </w:rPr>
        <w:t xml:space="preserve">**DO UZNANIA BEZSKUTECZNOŚCI WYPOWIEDZENIA UMOWY I JEJ KONTYNUOWANIA LUB ZWROTU WPŁACONYCH ŚRODKÓW WRAZ Z ODSETKAMI ORAZ ZAPRZSTANIA DZIAŁAŃ WINDYKACYJNYCH**</w:t>
      </w:r>
      <w:r>
        <w:br/>
      </w:r>
      <w:r>
        <w:br/>
      </w:r>
      <w:r>
        <w:rPr>
          <w:rStyle w:val="NormalTok"/>
        </w:rPr>
        <w:t xml:space="preserve">Niniejszym, działając w imieniu i na rzecz M. K., wzywam Spółkę Deweloperską „D. sp. z o.o.” Sp. z o.o. do podjęcia następujących czynności w terminie **14 (czternastu) dni** od daty otrzymania niniejszego wezwania:</w:t>
      </w:r>
      <w:r>
        <w:br/>
      </w:r>
      <w:r>
        <w:br/>
      </w:r>
      <w:r>
        <w:rPr>
          <w:rStyle w:val="NormalTok"/>
        </w:rPr>
        <w:t xml:space="preserve">**I. Żądanie główne – Uznanie bezskuteczności wypowiedzenia i przywrócenie Umowy do pierwotnego stanu:**</w:t>
      </w:r>
      <w:r>
        <w:br/>
      </w:r>
      <w:r>
        <w:rPr>
          <w:rStyle w:val="NormalTok"/>
        </w:rPr>
        <w:t xml:space="preserve">Wzywam do natychmiastowego uznania, że jednostronne wypowiedzenie Umowy deweloperskiej nr D-████/███ z dnia 20 marca 2024 r., doręczone Panu Michałowi M. K.owi w dniu 01 marca 2025 r., jest **bezskuteczne i niewiążące**. W związku z tym, wzywam do natychmiastowego przywrócenia Umowy do pierwotnego stanu, tj. do warunków obowiązujących przed zaproponowaniem Aneksu nr 1 z dnia 15 stycznia 2025 r., oraz do kontynuowania i terminowego wykonania zobowiązań wynikających z pierwotnej Umowy, w szczególności do dokończenia inwestycji „OSIEDLE WIOSENNE” i przeniesienia własności lokalu mieszkalnego B██/██ zgodnie z terminem 01 grudnia 2024 r. (§5 ust. 1 Umowy </w:t>
      </w:r>
      <w:r>
        <w:rPr>
          <w:rStyle w:val="CommentTok"/>
        </w:rPr>
        <w:t xml:space="preserve">[</w:t>
      </w:r>
      <w:r>
        <w:rPr>
          <w:rStyle w:val="OtherTok"/>
        </w:rPr>
        <w:t xml:space="preserve">Źródło 1</w:t>
      </w:r>
      <w:r>
        <w:rPr>
          <w:rStyle w:val="CommentTok"/>
        </w:rPr>
        <w:t xml:space="preserve">]</w:t>
      </w:r>
      <w:r>
        <w:rPr>
          <w:rStyle w:val="NormalTok"/>
        </w:rPr>
        <w:t xml:space="preserve">) lub jego niezwłocznego dokończenia.</w:t>
      </w:r>
      <w:r>
        <w:br/>
      </w:r>
      <w:r>
        <w:br/>
      </w:r>
      <w:r>
        <w:rPr>
          <w:rStyle w:val="NormalTok"/>
        </w:rPr>
        <w:t xml:space="preserve">**Uzasadnienie:**</w:t>
      </w:r>
      <w:r>
        <w:br/>
      </w:r>
      <w:r>
        <w:rPr>
          <w:rStyle w:val="NormalTok"/>
        </w:rPr>
        <w:t xml:space="preserve">Wypowiedzenie Umowy deweloperskiej przez Państwa Spółkę, powołujące się na brak akceptacji aneksu wprowadzającego podwyżkę ceny i zmianę terminu, jest całkowicie bezzasadne i bezskuteczne z uwagi na:</w:t>
      </w:r>
      <w:r>
        <w:br/>
      </w:r>
      <w:r>
        <w:rPr>
          <w:rStyle w:val="SpecialStringTok"/>
        </w:rPr>
        <w:t xml:space="preserve">1.  </w:t>
      </w:r>
      <w:r>
        <w:rPr>
          <w:rStyle w:val="NormalTok"/>
        </w:rPr>
        <w:t xml:space="preserve">**Brak podstaw prawnych do jednostronnej zmiany warunków i wypowiedzenia umowy:** Przepisy Kodeksu cywilnego oraz ustawy deweloperskiej (ochronnej dla konsumentów) nie przewidują możliwości jednostronnego narzucenia nabywcy podwyżki ceny lub zmiany terminu oddania lokalu z powodu wzrostu kosztów dewelopera. Takie ryzyko leży po stronie przedsiębiorcy.</w:t>
      </w:r>
      <w:r>
        <w:br/>
      </w:r>
      <w:r>
        <w:rPr>
          <w:rStyle w:val="SpecialStringTok"/>
        </w:rPr>
        <w:t xml:space="preserve">2.  </w:t>
      </w:r>
      <w:r>
        <w:rPr>
          <w:rStyle w:val="NormalTok"/>
        </w:rPr>
        <w:t xml:space="preserve">**Abuzywność/nieważność klauzul umownych:** Postanowienia Umowy, takie jak §5 ust. 2 (możliwość przedłużenia terminu o ██ miesięcy z "przyczyn niezależnych" </w:t>
      </w:r>
      <w:r>
        <w:rPr>
          <w:rStyle w:val="CommentTok"/>
        </w:rPr>
        <w:t xml:space="preserve">[</w:t>
      </w:r>
      <w:r>
        <w:rPr>
          <w:rStyle w:val="OtherTok"/>
        </w:rPr>
        <w:t xml:space="preserve">Źródło 1</w:t>
      </w:r>
      <w:r>
        <w:rPr>
          <w:rStyle w:val="CommentTok"/>
        </w:rPr>
        <w:t xml:space="preserve">]</w:t>
      </w:r>
      <w:r>
        <w:rPr>
          <w:rStyle w:val="NormalTok"/>
        </w:rPr>
        <w:t xml:space="preserve">) oraz §10 ust. 2 (uprawnienie do wypowiedzenia umowy w przypadku braku akceptacji aneksu), są w ocenie M. K. klauzulami abuzywnymi w rozumieniu art. 385¹ i nast. Kodeksu cywilnego, rażąco naruszającymi jego interesy jako konsumenta. Są one również sprzeczne z zasadami współżycia społecznego oraz bezwzględnie obowiązującymi przepisami ustawy deweloperskiej.</w:t>
      </w:r>
      <w:r>
        <w:br/>
      </w:r>
      <w:r>
        <w:rPr>
          <w:rStyle w:val="SpecialStringTok"/>
        </w:rPr>
        <w:t xml:space="preserve">3.  </w:t>
      </w:r>
      <w:r>
        <w:rPr>
          <w:rStyle w:val="NormalTok"/>
        </w:rPr>
        <w:t xml:space="preserve">**Naruszenie ustawy deweloperskiej:** Spółka naruszyła podstawowe obowiązki wynikające z ustawy deweloperskiej, przyjmując wpłacone przez M. K. środki w łącznej wysokości 310 000,00 zł na zwykły rachunek bankowy, a nie na wymagany prawem mieszkaniowy rachunek powierniczy, co stanowi rażące naruszenie przepisów ochronnych </w:t>
      </w:r>
      <w:r>
        <w:rPr>
          <w:rStyle w:val="CommentTok"/>
        </w:rPr>
        <w:t xml:space="preserve">[</w:t>
      </w:r>
      <w:r>
        <w:rPr>
          <w:rStyle w:val="OtherTok"/>
        </w:rPr>
        <w:t xml:space="preserve">Źródło 1</w:t>
      </w:r>
      <w:r>
        <w:rPr>
          <w:rStyle w:val="CommentTok"/>
        </w:rPr>
        <w:t xml:space="preserve">]</w:t>
      </w:r>
      <w:r>
        <w:rPr>
          <w:rStyle w:val="NormalTok"/>
        </w:rPr>
        <w:t xml:space="preserve">. Ponadto, nie dokonano wpisu roszczenia o przeniesienie własności w księdze wieczystej </w:t>
      </w:r>
      <w:r>
        <w:rPr>
          <w:rStyle w:val="CommentTok"/>
        </w:rPr>
        <w:t xml:space="preserve">[</w:t>
      </w:r>
      <w:r>
        <w:rPr>
          <w:rStyle w:val="OtherTok"/>
        </w:rPr>
        <w:t xml:space="preserve">Źródło 1</w:t>
      </w:r>
      <w:r>
        <w:rPr>
          <w:rStyle w:val="CommentTok"/>
        </w:rPr>
        <w:t xml:space="preserve">]</w:t>
      </w:r>
      <w:r>
        <w:rPr>
          <w:rStyle w:val="NormalTok"/>
        </w:rPr>
        <w:t xml:space="preserve">.</w:t>
      </w:r>
      <w:r>
        <w:br/>
      </w:r>
      <w:r>
        <w:br/>
      </w:r>
      <w:r>
        <w:rPr>
          <w:rStyle w:val="NormalTok"/>
        </w:rPr>
        <w:t xml:space="preserve">**II. Żądanie alternatywne – Zwrot wpłaconych środków oraz odsetek i odszkodowania (w przypadku utrzymywania rozwiązania umowy):**</w:t>
      </w:r>
      <w:r>
        <w:br/>
      </w:r>
      <w:r>
        <w:rPr>
          <w:rStyle w:val="NormalTok"/>
        </w:rPr>
        <w:t xml:space="preserve">W przypadku, gdy D. sp. z o.o. będzie nadal utrzymywać, że Umowa została skutecznie rozwiązana, wzywam do natychmiastowego zwrotu wszystkich wpłaconych przez M. K. środków w łącznej wysokości **310 000,00 zł (trzysta dziesięć tysięcy złotych 00/100)**.</w:t>
      </w:r>
      <w:r>
        <w:br/>
      </w:r>
      <w:r>
        <w:br/>
      </w:r>
      <w:r>
        <w:rPr>
          <w:rStyle w:val="NormalTok"/>
        </w:rPr>
        <w:t xml:space="preserve">Żądam zwrotu tej kwoty wraz z odsetkami ustawowymi za opóźnienie, liczonymi od dat poszczególnych wpłat:</w:t>
      </w:r>
      <w:r>
        <w:br/>
      </w:r>
      <w:r>
        <w:rPr>
          <w:rStyle w:val="SpecialStringTok"/>
        </w:rPr>
        <w:t xml:space="preserve">*   </w:t>
      </w:r>
      <w:r>
        <w:rPr>
          <w:rStyle w:val="NormalTok"/>
        </w:rPr>
        <w:t xml:space="preserve">Od kwoty 62 000,00 zł (zadatek) – od dnia 23 marca 2024 r. do dnia zapłaty.</w:t>
      </w:r>
      <w:r>
        <w:br/>
      </w:r>
      <w:r>
        <w:rPr>
          <w:rStyle w:val="SpecialStringTok"/>
        </w:rPr>
        <w:t xml:space="preserve">*   </w:t>
      </w:r>
      <w:r>
        <w:rPr>
          <w:rStyle w:val="NormalTok"/>
        </w:rPr>
        <w:t xml:space="preserve">Od kwoty 248 000,00 zł (II transza) – od dnia 16 lutego 2025 r. do dnia zapłaty.</w:t>
      </w:r>
      <w:r>
        <w:br/>
      </w:r>
      <w:r>
        <w:br/>
      </w:r>
      <w:r>
        <w:rPr>
          <w:rStyle w:val="NormalTok"/>
        </w:rPr>
        <w:t xml:space="preserve">Ponadto, wzywam do pokrycia wszelkich kosztów procesu i zastępstwa procesowego, a także do naprawienia szkód poniesionych przez M. K. w związku z Państwa bezprawnymi działaniami, w tym:</w:t>
      </w:r>
      <w:r>
        <w:br/>
      </w:r>
      <w:r>
        <w:rPr>
          <w:rStyle w:val="SpecialStringTok"/>
        </w:rPr>
        <w:t xml:space="preserve">*   </w:t>
      </w:r>
      <w:r>
        <w:rPr>
          <w:rStyle w:val="CommentTok"/>
        </w:rPr>
        <w:t xml:space="preserve">[</w:t>
      </w:r>
      <w:r>
        <w:rPr>
          <w:rStyle w:val="OtherTok"/>
        </w:rPr>
        <w:t xml:space="preserve">Wskazać ewentualne konkretne kwoty i dowody rzeczywistych kosztów poniesionych przez dewelopera, jeśli uzna się je za udowodnione i zgodne z prawem – zgodnie z zaleceniem z kazusu. W obecnym stanie faktycznym brak jest takich dowodów.</w:t>
      </w:r>
      <w:r>
        <w:rPr>
          <w:rStyle w:val="CommentTok"/>
        </w:rPr>
        <w:t xml:space="preserve">]</w:t>
      </w:r>
      <w:r>
        <w:br/>
      </w:r>
      <w:r>
        <w:rPr>
          <w:rStyle w:val="SpecialStringTok"/>
        </w:rPr>
        <w:t xml:space="preserve">*   </w:t>
      </w:r>
      <w:r>
        <w:rPr>
          <w:rStyle w:val="NormalTok"/>
        </w:rPr>
        <w:t xml:space="preserve">Koszty zastępstwa procesowego w wysokości zgodnej z obowiązującymi przepisami.</w:t>
      </w:r>
      <w:r>
        <w:br/>
      </w:r>
      <w:r>
        <w:rPr>
          <w:rStyle w:val="SpecialStringTok"/>
        </w:rPr>
        <w:t xml:space="preserve">*   </w:t>
      </w:r>
      <w:r>
        <w:rPr>
          <w:rStyle w:val="NormalTok"/>
        </w:rPr>
        <w:t xml:space="preserve">Koszty związane z poszukiwaniem nowego lokalu i ewentualnym wynajmem tymczasowym.</w:t>
      </w:r>
      <w:r>
        <w:br/>
      </w:r>
      <w:r>
        <w:br/>
      </w:r>
      <w:r>
        <w:rPr>
          <w:rStyle w:val="NormalTok"/>
        </w:rPr>
        <w:t xml:space="preserve">**III. Zaprzestanie działań windykacyjnych i potrąceń:**</w:t>
      </w:r>
      <w:r>
        <w:br/>
      </w:r>
      <w:r>
        <w:rPr>
          <w:rStyle w:val="NormalTok"/>
        </w:rPr>
        <w:t xml:space="preserve">Wzywam Spółkę „D. sp. z o.o.” do natychmiastowego zaprzestania wszelkich działań windykacyjnych skierowanych przeciwko Panu Michałowi M. K.owi oraz do zaniechania jakichkolwiek prób potrącania z wpłaconych przez niego środków kwoty rzekomej kary umownej w wysokości 62 000,00 zł oraz kosztów administracyjnych w wysokości 5 000,00 zł, jako roszczeń całkowicie bezzasadnych.</w:t>
      </w:r>
      <w:r>
        <w:br/>
      </w:r>
      <w:r>
        <w:br/>
      </w:r>
      <w:r>
        <w:rPr>
          <w:rStyle w:val="NormalTok"/>
        </w:rPr>
        <w:t xml:space="preserve">**IV. Skutki braku reakcji:**</w:t>
      </w:r>
      <w:r>
        <w:br/>
      </w:r>
      <w:r>
        <w:rPr>
          <w:rStyle w:val="NormalTok"/>
        </w:rPr>
        <w:t xml:space="preserve">W przypadku braku pozytywnej odpowiedzi lub spełnienia powyższych żądań w wyznaczonym terminie, M. K. będzie zmuszony podjąć dalsze kroki prawne, w tym skierować sprawę na drogę postępowania sądowego z wnioskiem o zabezpieczenie powództwa, a także zawiadomić odpowiednie organy kontrolne (UOKiK, Rzecznika Praw Konsumentów) o rażących naruszeniach ustawy deweloperskiej i praw konsumenta.</w:t>
      </w:r>
      <w:r>
        <w:br/>
      </w:r>
      <w:r>
        <w:br/>
      </w:r>
      <w:r>
        <w:rPr>
          <w:rStyle w:val="NormalTok"/>
        </w:rPr>
        <w:t xml:space="preserve">Z poważaniem,</w:t>
      </w:r>
      <w:r>
        <w:br/>
      </w:r>
      <w:r>
        <w:br/>
      </w:r>
      <w:r>
        <w:rPr>
          <w:rStyle w:val="CommentTok"/>
        </w:rPr>
        <w:t xml:space="preserve">[</w:t>
      </w:r>
      <w:r>
        <w:rPr>
          <w:rStyle w:val="OtherTok"/>
        </w:rPr>
        <w:t xml:space="preserve">Imię i nazwisko pełnomocnika</w:t>
      </w:r>
      <w:r>
        <w:rPr>
          <w:rStyle w:val="CommentTok"/>
        </w:rPr>
        <w:t xml:space="preserve">]</w:t>
      </w:r>
      <w:r>
        <w:br/>
      </w:r>
      <w:r>
        <w:rPr>
          <w:rStyle w:val="CommentTok"/>
        </w:rPr>
        <w:t xml:space="preserve">[</w:t>
      </w:r>
      <w:r>
        <w:rPr>
          <w:rStyle w:val="OtherTok"/>
        </w:rPr>
        <w:t xml:space="preserve">Podpis pełnomocnika</w:t>
      </w:r>
      <w:r>
        <w:rPr>
          <w:rStyle w:val="CommentTok"/>
        </w:rPr>
        <w:t xml:space="preserve">]</w:t>
      </w:r>
    </w:p>
    <w:bookmarkEnd w:id="28"/>
    <w:bookmarkStart w:id="29" w:name="pozew-do-sądu-rejonowego"/>
    <w:p>
      <w:pPr>
        <w:pStyle w:val="Heading3"/>
      </w:pPr>
      <w:r>
        <w:t xml:space="preserve">3. Pozew do sądu rejonowego</w:t>
      </w:r>
    </w:p>
    <w:p>
      <w:pPr>
        <w:pStyle w:val="FirstParagraph"/>
      </w:pPr>
      <w:r>
        <w:t xml:space="preserve">```markdown</w:t>
      </w:r>
      <w:r>
        <w:t xml:space="preserve"> </w:t>
      </w:r>
      <w:r>
        <w:t xml:space="preserve">Sąd 28 w Warszawie</w:t>
      </w:r>
      <w:r>
        <w:t xml:space="preserve"> </w:t>
      </w:r>
      <w:r>
        <w:t xml:space="preserve">[Adres sądu rejonowego]</w:t>
      </w:r>
    </w:p>
    <w:p>
      <w:pPr>
        <w:pStyle w:val="BodyText"/>
      </w:pPr>
      <w:r>
        <w:rPr>
          <w:b/>
          <w:bCs/>
        </w:rPr>
        <w:t xml:space="preserve">Powód:</w:t>
      </w:r>
      <w:r>
        <w:t xml:space="preserve"> </w:t>
      </w:r>
      <w:r>
        <w:t xml:space="preserve">M. K.</w:t>
      </w:r>
      <w:r>
        <w:t xml:space="preserve"> </w:t>
      </w:r>
      <w:r>
        <w:t xml:space="preserve">PESEL ███████████</w:t>
      </w:r>
      <w:r>
        <w:t xml:space="preserve"> </w:t>
      </w:r>
      <w:r>
        <w:t xml:space="preserve">[Adres zamieszkania]</w:t>
      </w:r>
    </w:p>
    <w:p>
      <w:pPr>
        <w:pStyle w:val="BodyText"/>
      </w:pPr>
      <w:r>
        <w:rPr>
          <w:b/>
          <w:bCs/>
        </w:rPr>
        <w:t xml:space="preserve">Pozwany:</w:t>
      </w:r>
      <w:r>
        <w:t xml:space="preserve"> </w:t>
      </w:r>
      <w:r>
        <w:t xml:space="preserve">Spółka Deweloperska „D. sp. z o.o.” Sp. z o.o.</w:t>
      </w:r>
      <w:r>
        <w:t xml:space="preserve"> </w:t>
      </w:r>
      <w:r>
        <w:t xml:space="preserve">KRS ██████████</w:t>
      </w:r>
      <w:r>
        <w:t xml:space="preserve"> </w:t>
      </w:r>
      <w:r>
        <w:t xml:space="preserve">ul. [Ulica dewelopera]</w:t>
      </w:r>
      <w:r>
        <w:t xml:space="preserve"> </w:t>
      </w:r>
      <w:r>
        <w:t xml:space="preserve">[Kod pocztowy] [Miejscowość]</w:t>
      </w:r>
    </w:p>
    <w:p>
      <w:pPr>
        <w:pStyle w:val="BodyText"/>
      </w:pPr>
      <w:r>
        <w:rPr>
          <w:b/>
          <w:bCs/>
        </w:rPr>
        <w:t xml:space="preserve">Wartość Przedmiotu Sporu:</w:t>
      </w:r>
      <w:r>
        <w:t xml:space="preserve"> </w:t>
      </w:r>
      <w:r>
        <w:t xml:space="preserve">310 000,00 zł (w przypadku żądania zapłaty) lub ustalenie (brak wartości przedmiotu sporu)</w:t>
      </w:r>
    </w:p>
    <w:p>
      <w:pPr>
        <w:pStyle w:val="BodyText"/>
      </w:pPr>
      <w:r>
        <w:rPr>
          <w:b/>
          <w:bCs/>
        </w:rPr>
        <w:t xml:space="preserve">POZEW O USTALENIE BEZSKUTECZNOŚCI WYPOWIEDZENIA UMOWY I NAKAZANIE DOKOŃCZENIA INWESTYCJI/PRZENIESIENIA WŁASNOŚCI LUB O ZAPŁATĘ I ODSZKODOWANIE</w:t>
      </w:r>
    </w:p>
    <w:p>
      <w:pPr>
        <w:pStyle w:val="BodyText"/>
      </w:pPr>
      <w:r>
        <w:t xml:space="preserve">Wnoszę o:</w:t>
      </w:r>
    </w:p>
    <w:p>
      <w:pPr>
        <w:numPr>
          <w:ilvl w:val="0"/>
          <w:numId w:val="1022"/>
        </w:numPr>
      </w:pPr>
      <w:r>
        <w:rPr>
          <w:b/>
          <w:bCs/>
        </w:rPr>
        <w:t xml:space="preserve">Żądanie główne:</w:t>
      </w:r>
    </w:p>
    <w:p>
      <w:pPr>
        <w:pStyle w:val="Compact"/>
        <w:numPr>
          <w:ilvl w:val="1"/>
          <w:numId w:val="1023"/>
        </w:numPr>
      </w:pPr>
      <w:r>
        <w:t xml:space="preserve">Ustalenie, że wypowiedzenie Umowy deweloperskiej nr D-████/███ z dnia 20 marca 2024 r., dokonane przez Pozwanego w dniu 01 marca 2025 r., jest bezskuteczne.</w:t>
      </w:r>
    </w:p>
    <w:p>
      <w:pPr>
        <w:pStyle w:val="Compact"/>
        <w:numPr>
          <w:ilvl w:val="1"/>
          <w:numId w:val="1023"/>
        </w:numPr>
      </w:pPr>
      <w:r>
        <w:t xml:space="preserve">Nakazanie Pozwanemu dokończenia inwestycji „OSIEDLE WIOSENNE” i przeniesienia na rzecz Powoda własności lokalu mieszkalnego B██/██ o powierzchni 56,80 m2, w terminie wskazanym przez Sąd, nie dłuższym niż 3 (trzy) miesiące od uprawomocnienia się wyroku.</w:t>
      </w:r>
    </w:p>
    <w:p>
      <w:pPr>
        <w:numPr>
          <w:ilvl w:val="0"/>
          <w:numId w:val="1022"/>
        </w:numPr>
      </w:pPr>
      <w:r>
        <w:rPr>
          <w:b/>
          <w:bCs/>
        </w:rPr>
        <w:t xml:space="preserve">Żądanie ewentualne (na wypadek nieuwzględnienia żądania głównego):</w:t>
      </w:r>
    </w:p>
    <w:p>
      <w:pPr>
        <w:pStyle w:val="Compact"/>
        <w:numPr>
          <w:ilvl w:val="1"/>
          <w:numId w:val="1024"/>
        </w:numPr>
      </w:pPr>
      <w:r>
        <w:t xml:space="preserve">Zasądzenie od Pozwanego na rzecz Powoda kwoty</w:t>
      </w:r>
      <w:r>
        <w:t xml:space="preserve"> </w:t>
      </w:r>
      <w:r>
        <w:rPr>
          <w:b/>
          <w:bCs/>
        </w:rPr>
        <w:t xml:space="preserve">310 000,00 zł (trzysta dziesięć tysięcy złotych 00/100)</w:t>
      </w:r>
      <w:r>
        <w:t xml:space="preserve"> </w:t>
      </w:r>
      <w:r>
        <w:t xml:space="preserve">tytułem zwrotu nienależnie pobranych świadczeń.</w:t>
      </w:r>
    </w:p>
    <w:p>
      <w:pPr>
        <w:pStyle w:val="Compact"/>
        <w:numPr>
          <w:ilvl w:val="1"/>
          <w:numId w:val="1024"/>
        </w:numPr>
      </w:pPr>
      <w:r>
        <w:t xml:space="preserve">Zasądzenie od Pozwanego na rzecz Powoda odsetek ustawowych za opóźnienie od kwot:</w:t>
      </w:r>
    </w:p>
    <w:p>
      <w:pPr>
        <w:pStyle w:val="Compact"/>
        <w:numPr>
          <w:ilvl w:val="2"/>
          <w:numId w:val="1025"/>
        </w:numPr>
      </w:pPr>
      <w:r>
        <w:t xml:space="preserve">62 000,00 zł od dnia 23 marca 2024 r. do dnia zapłaty.</w:t>
      </w:r>
    </w:p>
    <w:p>
      <w:pPr>
        <w:pStyle w:val="Compact"/>
        <w:numPr>
          <w:ilvl w:val="2"/>
          <w:numId w:val="1025"/>
        </w:numPr>
      </w:pPr>
      <w:r>
        <w:t xml:space="preserve">248 000,00 zł od dnia 16 lutego 2025 r. do dnia zapłaty.</w:t>
      </w:r>
    </w:p>
    <w:p>
      <w:pPr>
        <w:pStyle w:val="Compact"/>
        <w:numPr>
          <w:ilvl w:val="1"/>
          <w:numId w:val="1024"/>
        </w:numPr>
      </w:pPr>
      <w:r>
        <w:t xml:space="preserve">Zasądzenie od Pozwanego na rzecz Powoda odszkodowania z tytułu niewykonania/nienależytego wykonania umowy w wysokości [kwota do ustalenia, np. różnica w cenie podobnego lokalu + koszty wynajmu + inne szkody], wraz z odsetkami ustawowymi za opóźnienie od dnia wniesienia pozwu do dnia zapłaty.</w:t>
      </w:r>
    </w:p>
    <w:p>
      <w:pPr>
        <w:numPr>
          <w:ilvl w:val="0"/>
          <w:numId w:val="1022"/>
        </w:numPr>
      </w:pPr>
      <w:r>
        <w:rPr>
          <w:b/>
          <w:bCs/>
        </w:rPr>
        <w:t xml:space="preserve">Zasądzenie od Pozwanego na rzecz Powoda kosztów postępowania sądowego</w:t>
      </w:r>
      <w:r>
        <w:t xml:space="preserve">, w tym kosztów zastępstwa procesowego według norm przepisanych oraz opłaty sądowej.</w:t>
      </w:r>
    </w:p>
    <w:p>
      <w:pPr>
        <w:numPr>
          <w:ilvl w:val="0"/>
          <w:numId w:val="1022"/>
        </w:numPr>
      </w:pPr>
      <w:r>
        <w:rPr>
          <w:b/>
          <w:bCs/>
        </w:rPr>
        <w:t xml:space="preserve">Udzielenie zabezpieczenia powództwa</w:t>
      </w:r>
      <w:r>
        <w:t xml:space="preserve"> </w:t>
      </w:r>
      <w:r>
        <w:t xml:space="preserve">poprzez:</w:t>
      </w:r>
    </w:p>
    <w:p>
      <w:pPr>
        <w:pStyle w:val="Compact"/>
        <w:numPr>
          <w:ilvl w:val="1"/>
          <w:numId w:val="1026"/>
        </w:numPr>
      </w:pPr>
      <w:r>
        <w:t xml:space="preserve">Ustanowienie zakazu zbywania i obciążania przez Spółkę Deweloperską „D. sp. z o.o.” Sp. z o.o. wszelkich praw do nieruchomości gruntowej, na której realizowana jest inwestycja „OSIEDLE WIOSENNE” oraz praw do pozostałych lokali mieszkalnych w tej inwestycji, ujawnionych w księgach wieczystych.</w:t>
      </w:r>
    </w:p>
    <w:p>
      <w:pPr>
        <w:pStyle w:val="Compact"/>
        <w:numPr>
          <w:ilvl w:val="1"/>
          <w:numId w:val="1026"/>
        </w:numPr>
      </w:pPr>
      <w:r>
        <w:t xml:space="preserve">Ustanowienie hipoteki przymusowej na nieruchomościach należących do Pozwanego, wskazanych w załączniku do wniosku o zabezpieczenie, do kwoty [suma dochodzonego roszczenia + odsetki + koszty].</w:t>
      </w:r>
    </w:p>
    <w:p>
      <w:pPr>
        <w:pStyle w:val="Compact"/>
        <w:numPr>
          <w:ilvl w:val="1"/>
          <w:numId w:val="1026"/>
        </w:numPr>
      </w:pPr>
      <w:r>
        <w:t xml:space="preserve">Zajęcie rachunków bankowych Pozwanego do kwoty [suma dochodzonego roroszczenia + odsetki + koszty].</w:t>
      </w:r>
    </w:p>
    <w:p>
      <w:pPr>
        <w:pStyle w:val="FirstParagraph"/>
      </w:pPr>
      <w:r>
        <w:rPr>
          <w:b/>
          <w:bCs/>
        </w:rPr>
        <w:t xml:space="preserve">Uzasadnienie</w:t>
      </w:r>
    </w:p>
    <w:p>
      <w:pPr>
        <w:pStyle w:val="BodyText"/>
      </w:pPr>
      <w:r>
        <w:rPr>
          <w:b/>
          <w:bCs/>
        </w:rPr>
        <w:t xml:space="preserve">I. Stan faktyczny (powtórzenie i rozwinięcie)</w:t>
      </w:r>
      <w:r>
        <w:t xml:space="preserve"> </w:t>
      </w:r>
      <w:r>
        <w:t xml:space="preserve">Powód M. K. zawarł z Pozwanym Spółką Deweloperską „D. sp. z o.o.” Sp. z o.o. umowę deweloperską nr D-████/███ w dniu 20 marca 2024 r. na nabycie lokalu B██/██ w inwestycji „OSIEDLE WIOSENNE” za cenę 620 000,00 zł brutto [Źródło 1]. Powód wpłacił Deweloperowi łącznie 310 000,00 zł, w tym zadatek 62 000,00 zł (22.03.2024 r.) oraz II transzę 248 000,00 zł (15.02.2025 r.) [Źródło 1]. Środki te zostały wpłacone na zwykły rachunek bankowy Pozwanego, bez zachowania wymogu prowadzenia mieszkaniowego rachunku powierniczego, ani dokonania wpisu roszczenia w księdze wieczystej [Źródło 1]. Pierwotny termin przekazania lokalu ustalono na 01.12.2024 r. [Źródło 1]. W dniu 15 stycznia 2025 r. Pozwany zaproponował aneks nr 1, przesuwający termin na 01.07.2025 r. oraz podwyższający cenę o 5% [Źródło 1]. Powód odmówił akceptacji aneksu w dniu 20 stycznia 2025 r. [Źródło 1]. W dniu 01 marca 2025 r. Pozwany wstrzymał prace budowlane i doręczył Powodowi oświadczenie o wypowiedzeniu umowy datowane 28 lutego 2025 r., powołując się na brak akceptacji aneksu zgodnie z §10 ust. 2 Umowy [Źródło 1]. Jednocześnie Pozwany zażądał zapłaty kary umownej w wysokości 62 000,00 zł i kosztów administracyjnych w wysokości 5 000,00 zł, zapowiadając potrącenie tych kwot z wpłaconych środków [Źródło 1].</w:t>
      </w:r>
    </w:p>
    <w:p>
      <w:pPr>
        <w:pStyle w:val="BodyText"/>
      </w:pPr>
      <w:r>
        <w:rPr>
          <w:b/>
          <w:bCs/>
        </w:rPr>
        <w:t xml:space="preserve">II. Uzasadnienie prawne</w:t>
      </w:r>
    </w:p>
    <w:p>
      <w:pPr>
        <w:pStyle w:val="Compact"/>
        <w:numPr>
          <w:ilvl w:val="0"/>
          <w:numId w:val="1027"/>
        </w:numPr>
      </w:pPr>
      <w:r>
        <w:rPr>
          <w:b/>
          <w:bCs/>
        </w:rPr>
        <w:t xml:space="preserve">Naruszenie ustawy deweloperskiej:</w:t>
      </w:r>
      <w:r>
        <w:t xml:space="preserve"> </w:t>
      </w:r>
      <w:r>
        <w:t xml:space="preserve">Pozwany rażąco naruszył przepisy ustawy o ochronie praw nabywcy lokalu mieszkalnego lub domu jednorodzinnego, nie stosując mieszkaniowego rachunku powierniczego dla gromadzenia wpłat Powoda i nie dokonując wpisu roszczenia w księdze wieczystej [Źródło 1]. Te naruszenia stanowią podstawę do uznania działań Pozwanego za sprzeczne z ustawą i mogą skutkować nieważnością umowy lub jej części, a także roszczeniami odszkodowawczymi.</w:t>
      </w:r>
    </w:p>
    <w:p>
      <w:pPr>
        <w:pStyle w:val="Compact"/>
        <w:numPr>
          <w:ilvl w:val="0"/>
          <w:numId w:val="1027"/>
        </w:numPr>
      </w:pPr>
      <w:r>
        <w:rPr>
          <w:b/>
          <w:bCs/>
        </w:rPr>
        <w:t xml:space="preserve">Bezskuteczność wypowiedzenia umowy:</w:t>
      </w:r>
      <w:r>
        <w:t xml:space="preserve"> </w:t>
      </w:r>
      <w:r>
        <w:t xml:space="preserve">W</w:t>
      </w:r>
    </w:p>
    <w:p>
      <w:r>
        <w:pict>
          <v:rect style="width:0;height:1.5pt" o:hralign="center" o:hrstd="t" o:hr="t"/>
        </w:pict>
      </w:r>
    </w:p>
    <w:bookmarkEnd w:id="29"/>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2026-10-05T19:14:23Z</dcterms:created>
  <dcterms:modified xsi:type="dcterms:W3CDTF">2026-10-05T19:14:23Z</dcterms:modified>
</cp:coreProperties>
</file>

<file path=docProps/custom.xml><?xml version="1.0" encoding="utf-8"?>
<Properties xmlns="http://schemas.openxmlformats.org/officeDocument/2006/custom-properties" xmlns:vt="http://schemas.openxmlformats.org/officeDocument/2006/docPropsVTypes"/>
</file>