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prawa-062-rozwiązanie-casebox"/>
    <w:p>
      <w:pPr>
        <w:pStyle w:val="Heading1"/>
      </w:pPr>
      <w:r>
        <w:t xml:space="preserve">Sprawa 062 — rozwiązanie CaseBox</w:t>
      </w:r>
    </w:p>
    <w:bookmarkStart w:id="9" w:name="część-ii.-rozwiązanie-case-project-api"/>
    <w:p>
      <w:pPr>
        <w:pStyle w:val="Heading2"/>
      </w:pPr>
      <w:r>
        <w:t xml:space="preserve">CZĘŚĆ II. ROZWIĄZANIE (Case Project API)</w:t>
      </w:r>
    </w:p>
    <w:bookmarkEnd w:id="9"/>
    <w:bookmarkStart w:id="10" w:name="podsumowanie-sprawy"/>
    <w:p>
      <w:pPr>
        <w:pStyle w:val="Heading2"/>
      </w:pPr>
      <w:r>
        <w:t xml:space="preserve">Podsumowanie sprawy</w:t>
      </w:r>
    </w:p>
    <w:p>
      <w:pPr>
        <w:pStyle w:val="FirstParagraph"/>
      </w:pPr>
      <w:r>
        <w:t xml:space="preserve">Niniejsza sprawa dotyczy sporu wynikającego z umowy najmu lokalu mieszkalnego nr UM/████/██/██ z dnia 30 września 2024 r., zawartej pomiędzy Januszem J. K.iem (Wynajmującym) a Anną A. N. (A. N.ą) [Źródło 1]. Przedmiotem najmu był lokal przy ul. Lipowa 8/3 m. 5 w Warszawie [Źródło 1]. Umowa została zawarta na czas oznaczony od 1 października 2024 r. do 30 września 2025 r. z czynszem 2 800 zł miesięcznie i kaucją w wysokości 2 800 zł [Źródło 1].</w:t>
      </w:r>
    </w:p>
    <w:p>
      <w:pPr>
        <w:pStyle w:val="BodyText"/>
      </w:pPr>
      <w:r>
        <w:t xml:space="preserve">Kluczowym elementem sporu jest awaria instalacji centralnego ogrzewania i przeciek w łazience, zgłoszona przez A. N. 1 grudnia 2024 r. [Źródło 1]. Po uzyskaniu zgody Wynajmującego za pośrednictwem SMS-a, A. N. zleciła naprawę firmie „„H. sp. z o.o.””, ponosząc koszt 1 950 zł brutto, zapłacony 13 grudnia 2024 r. [Źródło 1]. Po otrzymaniu faktury, Wynajmujący 5 lutego 2025 r. potrącił z kaucji 950 zł, a pozostałe 1 850 zł zatrzymał jako „zabezpieczenie przyszłych roszczeń”, odmawiając zwrotu kosztów naprawy [Źródło 1]. A. N. wypowiedziała umowę 10 lutego 2025 r. i opuściła lokal 15 marca 2025 r. [Źródło 1].</w:t>
      </w:r>
    </w:p>
    <w:p>
      <w:pPr>
        <w:pStyle w:val="BodyText"/>
      </w:pPr>
      <w:r>
        <w:t xml:space="preserve">Wynajmujący utrzymuje, że awaria była wynikiem niewłaściwego użytkowania przez A. N. i że koszty naprawy obciążają ją zgodnie z § 12 umowy, kwestionując jednocześnie zasadność kwoty naprawy i powołując się na prawo do potrącenia i zatrzymania kaucji [Źródło 1]. A. N. natomiast twierdzi, że awaria dotyczyła instalacji centralnego ogrzewania, za którą odpowiedzialny jest Wynajmujący jako właściciel, a naprawa była niezbędna i wykonana w rozsądnej cenie [Źródło 1].</w:t>
      </w:r>
    </w:p>
    <w:p>
      <w:pPr>
        <w:pStyle w:val="BodyText"/>
      </w:pPr>
      <w:r>
        <w:t xml:space="preserve">Obecnie brak jest wszczętego postępowania sądowego [Źródło 1]. A. N. żąda zwrotu poniesionych kosztów naprawy (1 950 zł), zwrotu bezprawnie potrąconej z kaucji kwoty (950 zł) oraz pełnego odzyskania pozostałej części kaucji (1 850 zł), co łącznie stanowi kwotę 4 750 zł, wraz z odsetkami [Źródło 1]. Klientka dąży również do uzyskania od Wynajmującego deklaracji o niezaciąganiu wobec niej innych roszczeń [Źródło 1].</w:t>
      </w:r>
    </w:p>
    <w:bookmarkEnd w:id="10"/>
    <w:bookmarkStart w:id="11" w:name="kluczowe-dane"/>
    <w:p>
      <w:pPr>
        <w:pStyle w:val="Heading2"/>
      </w:pPr>
      <w:r>
        <w:t xml:space="preserve">Kluczowe dane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Wynajmujący:</w:t>
      </w:r>
      <w:r>
        <w:t xml:space="preserve"> </w:t>
      </w:r>
      <w:r>
        <w:t xml:space="preserve">J. K. (PESEL ███████████)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 N.:</w:t>
      </w:r>
      <w:r>
        <w:t xml:space="preserve"> </w:t>
      </w:r>
      <w:r>
        <w:t xml:space="preserve">A. N. (PESEL ███████████)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Umowa najmu:</w:t>
      </w:r>
      <w:r>
        <w:t xml:space="preserve"> </w:t>
      </w:r>
      <w:r>
        <w:t xml:space="preserve">nr UM/████/██/██ z dnia 30 września 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Lokal:</w:t>
      </w:r>
      <w:r>
        <w:t xml:space="preserve"> </w:t>
      </w:r>
      <w:r>
        <w:t xml:space="preserve">ul. Lipowa 8/3 m. 5 w Warszawie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Okres najmu:</w:t>
      </w:r>
      <w:r>
        <w:t xml:space="preserve"> </w:t>
      </w:r>
      <w:r>
        <w:t xml:space="preserve">od 1 października 2024 r. do 30 września 2025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Czynsz:</w:t>
      </w:r>
      <w:r>
        <w:t xml:space="preserve"> </w:t>
      </w:r>
      <w:r>
        <w:t xml:space="preserve">2 800 zł miesięcznie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Kaucja:</w:t>
      </w:r>
      <w:r>
        <w:t xml:space="preserve"> </w:t>
      </w:r>
      <w:r>
        <w:t xml:space="preserve">2 800 zł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Kluczowa klauzula w umowie (§ 12):</w:t>
      </w:r>
      <w:r>
        <w:t xml:space="preserve"> </w:t>
      </w:r>
      <w:r>
        <w:t xml:space="preserve">„W przypadku wymiany instalacji nie wynikającej z normalnego zużycia, koszty pokrywa Najemca”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zgłoszenia awarii:</w:t>
      </w:r>
      <w:r>
        <w:t xml:space="preserve"> </w:t>
      </w:r>
      <w:r>
        <w:t xml:space="preserve">1 grudnia 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Firma wykonująca naprawę:</w:t>
      </w:r>
      <w:r>
        <w:t xml:space="preserve"> </w:t>
      </w:r>
      <w:r>
        <w:t xml:space="preserve">„„H. sp. z o.o.””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Koszt naprawy:</w:t>
      </w:r>
      <w:r>
        <w:t xml:space="preserve"> </w:t>
      </w:r>
      <w:r>
        <w:t xml:space="preserve">1 950 zł brutto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Faktura za naprawę:</w:t>
      </w:r>
      <w:r>
        <w:t xml:space="preserve"> </w:t>
      </w:r>
      <w:r>
        <w:t xml:space="preserve">HS/████/██/██ z 12 grudnia 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zapłaty faktury:</w:t>
      </w:r>
      <w:r>
        <w:t xml:space="preserve"> </w:t>
      </w:r>
      <w:r>
        <w:t xml:space="preserve">13 grudnia 2024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potrącenia z kaucji przez Wynajmującego:</w:t>
      </w:r>
      <w:r>
        <w:t xml:space="preserve"> </w:t>
      </w:r>
      <w:r>
        <w:t xml:space="preserve">5 lutego 2025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Kwota potrącona z kaucji:</w:t>
      </w:r>
      <w:r>
        <w:t xml:space="preserve"> </w:t>
      </w:r>
      <w:r>
        <w:t xml:space="preserve">950 zł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Kwota zatrzymana z kaucji (jako „zabezpieczenie przyszłych roszczeń”):</w:t>
      </w:r>
      <w:r>
        <w:t xml:space="preserve"> </w:t>
      </w:r>
      <w:r>
        <w:t xml:space="preserve">1 850 zł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wypowiedzenia umowy przez A. N.:</w:t>
      </w:r>
      <w:r>
        <w:t xml:space="preserve"> </w:t>
      </w:r>
      <w:r>
        <w:t xml:space="preserve">10 lutego 2025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opuszczenia lokalu przez A. N.:</w:t>
      </w:r>
      <w:r>
        <w:t xml:space="preserve"> </w:t>
      </w:r>
      <w:r>
        <w:t xml:space="preserve">15 marca 2025 r. [Źródło 1].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Łączna kwota roszczeń A. N.:</w:t>
      </w:r>
      <w:r>
        <w:t xml:space="preserve"> </w:t>
      </w:r>
      <w:r>
        <w:t xml:space="preserve">4 750 zł (1 950 zł koszty naprawy + 950 zł potrącona kaucja + 1 850 zł zatrzymana kaucja) [Źródło 1].</w:t>
      </w:r>
    </w:p>
    <w:bookmarkEnd w:id="11"/>
    <w:bookmarkStart w:id="20" w:name="opinia-prawna-dla-klienta-a.-n."/>
    <w:p>
      <w:pPr>
        <w:pStyle w:val="Heading2"/>
      </w:pPr>
      <w:r>
        <w:t xml:space="preserve">Opinia prawna dla Klienta (A. N.)</w:t>
      </w:r>
    </w:p>
    <w:bookmarkStart w:id="12" w:name="i.-kwalifikacja-prawna-stanu-faktycznego"/>
    <w:p>
      <w:pPr>
        <w:pStyle w:val="Heading3"/>
      </w:pPr>
      <w:r>
        <w:t xml:space="preserve">I. Kwalifikacja prawna stanu faktycznego</w:t>
      </w:r>
    </w:p>
    <w:p>
      <w:pPr>
        <w:pStyle w:val="FirstParagraph"/>
      </w:pPr>
      <w:r>
        <w:t xml:space="preserve">Stan faktyczny należy kwalifikować przede wszystkim w oparciu o przepisy dotyczące umowy najmu.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Obowiązki Wynajmującego:</w:t>
      </w:r>
      <w:r>
        <w:t xml:space="preserve"> </w:t>
      </w:r>
      <w:r>
        <w:t xml:space="preserve">Wynajmujący jest odpowiedzialny za wydanie najemcy rzeczy w stanie przydatnym do umówionego użytku i utrzymywanie jej w takim stanie przez czas trwania najmu. Dotyczy to w szczególności dokonywania napraw niezbędnych do zachowania rzeczy w stanie przydatnym do użytku. Drobne nakłady, obciążające najemcę, to te, które zwyczajowo obciążają najemcę w normalnym użytkowaniu rzeczy. Instalacja centralnego ogrzewania oraz przecieki w łazience co do zasady należą do zakresu odpowiedzialności Wynajmującego, jako nakłady niezbędne do zachowania rzeczy w stanie przydatnym do użytku. Dokładne przepisy Kodeksu cywilnego regulujące te obowiązki (Art. 659 § 1, Art. 662 § 1 i 2, Art. 663 k.c.) nie znajdują się w przekazanym aktualnym stanie prawnym, jednakże ich ogólne brzmienie jest powszechnie stosowane.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Prawo Najemcy do naprawy na koszt Wynajmującego:</w:t>
      </w:r>
      <w:r>
        <w:t xml:space="preserve"> </w:t>
      </w:r>
      <w:r>
        <w:t xml:space="preserve">Jeżeli rzecz wymaga napraw, które obciążają Wynajmującego, a Wynajmujący mimo zawiadomienia zwleka z ich wykonaniem, Najemca może, po wyznaczeniu mu odpowiedniego terminu, sam dokonać koniecznych napraw na koszt Wynajmującego. W niniejszej sprawie A. N. uzyskała zgodę Wynajmującego na dokonanie naprawy SMS-em, co stanowi formę dorozumianej akceptacji, mimo braku jasnego terminu na samodzielne wykonanie naprawy przez Wynajmującego.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Kaucja:</w:t>
      </w:r>
      <w:r>
        <w:t xml:space="preserve"> </w:t>
      </w:r>
      <w:r>
        <w:t xml:space="preserve">Kaucja, w niniejszej sprawie w wysokości 2 800 zł [Źródło 1], służy zabezpieczeniu roszczeń Wynajmującego wynikających z umowy najmu, takich jak zaległy czynsz, opłaty eksploatacyjne czy odszkodowanie za zniszczenia w lokalu. Podlega ona zwrotowi po zakończeniu najmu, po potrąceniu uzasadnionych i wymagalnych należności Wynajmującego. Brak jest w przekazanym stanie prawnym przepisu Kodeksu cywilnego, który wprost regulowałby termin zwrotu kaucji, jednakże praktyka nakazuje zwrot kaucji po opróżnieniu lokalu w terminie do 30 dni.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Potrącenie:</w:t>
      </w:r>
      <w:r>
        <w:t xml:space="preserve"> </w:t>
      </w:r>
      <w:r>
        <w:t xml:space="preserve">Możliwość potrącenia wierzytelności wzajemnych reguluje Kodeks cywilny. Art. 498 § 1 k.c. (brak w przekazanym stanie prawnym) stanowi, że gdy dwie osoby są jednocześnie względem siebie dłużnikami i wierzycielami, każda z nich może potrącić swoją wierzytelność z wierzytelności drugiej strony, jeżeli przedmiotem obu wierzytelności są pieniądze lub rzeczy tej samej jakości oznaczone tylko co do gatunku, a obie wierzytelności są wymagalne i mogą być dochodzone przed sądem lub przed innym organem państwowym.</w:t>
      </w:r>
      <w:r>
        <w:t xml:space="preserve"> </w:t>
      </w:r>
      <w:r>
        <w:t xml:space="preserve">5.</w:t>
      </w:r>
      <w:r>
        <w:t xml:space="preserve"> </w:t>
      </w:r>
      <w:r>
        <w:rPr>
          <w:b/>
          <w:bCs/>
        </w:rPr>
        <w:t xml:space="preserve">Bezpodstawne wzbogacenie:</w:t>
      </w:r>
      <w:r>
        <w:t xml:space="preserve"> </w:t>
      </w:r>
      <w:r>
        <w:t xml:space="preserve">Roszczenie o zwrot kosztów naprawy, jeśli Wynajmujący był do niej zobowiązany, a A. N. poniosła wydatek, może być także kwalifikowane na zasadach bezpodstawnego wzbogacenia (Art. 405 k.c., brak w przekazanym stanie prawnym), jeżeli Wynajmujący uzyskał korzyść kosztem A. N. bez podstawy prawnej.</w:t>
      </w:r>
    </w:p>
    <w:bookmarkEnd w:id="12"/>
    <w:bookmarkStart w:id="13" w:name="X5c57810fbe812ce87733b8d28e77d33a429c31e"/>
    <w:p>
      <w:pPr>
        <w:pStyle w:val="Heading3"/>
      </w:pPr>
      <w:r>
        <w:t xml:space="preserve">II. Ocena ważności/skuteczności kluczowych postanowień umowy i czynności stron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Klauzula § 12 umowy:</w:t>
      </w:r>
      <w:r>
        <w:t xml:space="preserve"> </w:t>
      </w:r>
      <w:r>
        <w:t xml:space="preserve">„W przypadku wymiany instalacji nie wynikającej z normalnego zużycia, koszty pokrywa Najemca.” [Źródło 1]. Klauzula ta jest ważna i wiążąca dla stron. Jej skuteczność w niniejszej sprawie zależy od ustalenia, czy awaria instalacji centralnego ogrzewania faktycznie wynikała z normalnego zużycia, wady ukrytej, czy też z niewłaściwego użytkowania przez A. N.. Jeżeli przyczyną było normalne zużycie lub wada, klauzula ta nie znajdzie zastosowania na niekorzyść A. N., gdyż obowiązek naprawy spoczywa na Wynajmującym.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Zgoda Wynajmującego na naprawę SMS-em:</w:t>
      </w:r>
      <w:r>
        <w:t xml:space="preserve"> </w:t>
      </w:r>
      <w:r>
        <w:t xml:space="preserve">Zgoda Wynajmującego na zlecenie naprawy przez A. N., wyrażona za pośrednictwem SMS-a [Źródło 1], jest skuteczna. W świetle orzecznictwa sądowego (np. Sąd Apelacyjny w Krakowie, I AGa 297/18, gdzie zwrócono uwagę na znaczenie korespondencji [Źródło 1]), komunikacja elektroniczna może stanowić dowód w sprawie, a zgoda wyrażona w ten sposób jest wiążąca. Uprawdopodabnia to również akceptację Wynajmującego co do konieczności naprawy i zasadności jej wykonania przez A. N..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Czynności Wynajmującego po naprawie (potrącenie i zatrzymanie kaucji):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Potrącenie 950 zł z kaucji:</w:t>
      </w:r>
      <w:r>
        <w:t xml:space="preserve"> </w:t>
      </w:r>
      <w:r>
        <w:t xml:space="preserve">Wynaj*</w:t>
      </w:r>
      <w:r>
        <w:t xml:space="preserve"> </w:t>
      </w:r>
      <w:r>
        <w:rPr>
          <w:b/>
          <w:bCs/>
        </w:rPr>
        <w:t xml:space="preserve">Potrącenie 950 zł z kaucji:</w:t>
      </w:r>
      <w:r>
        <w:t xml:space="preserve"> </w:t>
      </w:r>
      <w:r>
        <w:t xml:space="preserve">Wynajmujący dokonał potrącenia 5 lutego 2025 r. [Źródło 1]. Ocena zasadności tego potrącenia jest kluczowa. Jeżeli Wynajmujący rzeczywiście ma wymagalne roszczenie wobec A. N. (np. z tytułu uszkodzeń spowodowanych przez nią), potrącenie jest dopuszczalne na podstawie art. 498 § 1 k.c. (brak w przekazanym stanie prawnym). Wynajmujący twierdzi, że awaria była wynikiem niewłaściwego użytkowania przez A. N., co uzasadniałoby potrącenie [Źródło 1]. Jednak to na Wynajmującym spoczywa ciężar udowodnienia winy A. N. oraz wysokości szkody. Potrącenie bez uprzedniego uzasadnienia, oszacowania szkody i jej zakwestionowania przez A. N. jest ryzykowne dla Wynajmującego, zwłaszcza jeśli roszczenie A. N. o zwrot kosztów naprawy jest wymagalne.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Zatrzymanie 1 850 zł z kaucji jako „zabezpieczenie przyszłych roszczeń”:</w:t>
      </w:r>
      <w:r>
        <w:t xml:space="preserve"> </w:t>
      </w:r>
      <w:r>
        <w:t xml:space="preserve">Takie działanie Wynajmującego jest nieuzasadnione prawnie. Kaucja ma charakter zabezpieczający istniejące roszczenia, a nie potencjalne, przyszłe i bliżej nieokreślone. Po zakończeniu umowy najmu i opuszczeniu lokalu, kaucja powinna zostać rozliczona i zwrócona w określonym terminie (zwyczajowo 30 dni od dnia opróżnienia lokalu). Brak jest podstaw prawnych do zatrzymania części kaucji na poczet „zabezpieczenia przyszłych roszczeń”. Stanowi to bezprawne pozbawienie A. N. jej środków.</w:t>
      </w:r>
    </w:p>
    <w:bookmarkEnd w:id="13"/>
    <w:bookmarkStart w:id="19" w:name="X3f2972ae3ed65ba3b7a19962461db52bd70398d"/>
    <w:p>
      <w:pPr>
        <w:pStyle w:val="Heading3"/>
      </w:pPr>
      <w:r>
        <w:t xml:space="preserve">III. Odpowiedź na wszystkie zagadnienia z części III kazusu – punkt po punkcie</w:t>
      </w:r>
    </w:p>
    <w:bookmarkStart w:id="14" w:name="X013b2566b6b9ccd071bdec797c0ff7e6c100a0f"/>
    <w:p>
      <w:pPr>
        <w:pStyle w:val="Heading4"/>
      </w:pPr>
      <w:r>
        <w:t xml:space="preserve">1. Kwalifikacja prawna stanu faktycznego, ocena ważności/skuteczności kluczowych postanowień umowy i czynności stron, zastosowanie właściwych przepisów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Charakter umowy najmu:</w:t>
      </w:r>
      <w:r>
        <w:t xml:space="preserve"> </w:t>
      </w:r>
      <w:r>
        <w:t xml:space="preserve">Umowa najmu lokalu mieszkalnego na czas oznaczony od 01.10.2024 r. do 30.09.2025 r. [Źródło 1]. Do umowy zastosowanie mają przepisy Kodeksu cywilnego, w szczególności dotyczące najmu (Art. 659 i nast. k.c., brak w przekazanym stanie prawnym).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Odpowiedzialność za naprawy:</w:t>
      </w:r>
      <w:r>
        <w:t xml:space="preserve"> </w:t>
      </w:r>
      <w:r>
        <w:t xml:space="preserve">Awaria instalacji centralnego ogrzewania i przeciek w łazience co do zasady stanowią usterki obciążające Wynajmującego, ponieważ są to elementy konstrukcyjne i instalacyjne, których naprawa należy do jego obowiązków (Art. 662 § 1 i 2 k.c. – brak w przekazanym stanie prawnym). Klauzula § 12 umowy [Źródło 1] przenosi odpowiedzialność na Najemcę tylko w przypadku, gdy wymiana instalacji nie wynika z normalnego zużycia. W przypadku centralnego ogrzewania, co do zasady, awarie wynikają ze zużycia lub wad instalacji, a nie z niewłaściwego użytkowania przez najemcę, chyba że Wynajmujący udowodni coś innego.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Działania A. N. (naprawa):</w:t>
      </w:r>
      <w:r>
        <w:t xml:space="preserve"> </w:t>
      </w:r>
      <w:r>
        <w:t xml:space="preserve">Zlecenie naprawy przez A. N. za zgodą Wynajmującego (SMS) [Źródło 1] było uzasadnione. Wynajmujący, nie podejmując natychmiastowych działań, dorozumianie zaakceptował, że A. N. może dokonać naprawy. Powinna mieć ona prawo do zwrotu poniesionych kosztów na podstawie przepisów o prowadzeniu cudzych spraw bez zlecenia (Art. 752 k.c. i nast. – brak w przekazanym stanie prawnym) lub bezpodstawnego wzbogacenia (Art. 405 k.c. – brak w przekazanym stanie prawnym), jako że Wynajmujący został zwolniony z obowiązku i uzyskał korzyść.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Kaucja:</w:t>
      </w:r>
      <w:r>
        <w:t xml:space="preserve"> </w:t>
      </w:r>
      <w:r>
        <w:t xml:space="preserve">Kaucja w wysokości 2 800 zł miała zabezpieczać roszczenia Wynajmującego [Źródło 1]. Zatrzymanie części kaucji (950 zł) i pozostałej części (1 850 zł) jako „zabezpieczenia przyszłych roszczeń” jest bezprawne [Źródło 1]. Kaucja podlega rozliczeniu po zakończeniu najmu, po potrąceniu rzeczywiście istniejących i udowodnionych roszczeń Wynajmującego. Brak jakichkolwiek przepisów prawnych umożliwiających zatrzymanie kaucji na bliżej nieokreślone przyszłe roszczenia.</w:t>
      </w:r>
    </w:p>
    <w:bookmarkEnd w:id="14"/>
    <w:bookmarkStart w:id="15" w:name="Xca4428315ea0ce82128a8c4d6de7749a9333ab6"/>
    <w:p>
      <w:pPr>
        <w:pStyle w:val="Heading4"/>
      </w:pPr>
      <w:r>
        <w:t xml:space="preserve">2. Terminy przedawnienia i ewentualne roszczenia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Termin przedawnienia roszczeń A. N. o zwrot kosztów naprawy i kaucji: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Roszczenie o zwrot kosztów naprawy (1 950 zł):</w:t>
      </w:r>
      <w:r>
        <w:t xml:space="preserve"> </w:t>
      </w:r>
      <w:r>
        <w:t xml:space="preserve">Roszczenie to ma charakter związany z prowadzeniem cudzych spraw bez zlecenia lub bezpodstawnym wzbogaceniem. Zgodnie z ogólnymi zasadami Kodeksu cywilnego (brak w przekazanym stanie prawnym Art. 118 k.c.), termin przedawnienia dla roszczeń związanych z prowadzeniem działalności gospodarczej (jeśli Wynajmujący traktowany jest jako przedsiębiorca w kontekście najmu) wynosi trzy lata. Jeśli nie, to dziesięć lat. Z uwagi na datę zapłaty faktury (13.12.2024 r.) [Źródło 1], termin przedawnienia zaczyna biec od tego dnia. Wysłanie wezwania do zapłaty 31.12.2024 r. może wstrzymać bieg przedawnienia w pewnych sytuacjach (np. poprzez uznanie długu), jednak w przypadku braku reakcji Wynajmującego nie przerywa biegu przedawnienia.</w:t>
      </w:r>
    </w:p>
    <w:p>
      <w:pPr>
        <w:pStyle w:val="Compact"/>
        <w:numPr>
          <w:ilvl w:val="1"/>
          <w:numId w:val="1007"/>
        </w:numPr>
      </w:pPr>
      <w:r>
        <w:rPr>
          <w:b/>
          <w:bCs/>
        </w:rPr>
        <w:t xml:space="preserve">Roszczenie o zwrot kaucji (950 zł potrącone + 1 850 zł zatrzymane):</w:t>
      </w:r>
      <w:r>
        <w:t xml:space="preserve"> </w:t>
      </w:r>
      <w:r>
        <w:t xml:space="preserve">Roszczenie o zwrot kaucji przedawnia się zazwyczaj po 3 latach od daty, w której kaucja powinna zostać zwrócona (czyli zazwyczaj po upływie terminu na jej zwrot po opuszczeniu lokalu). Wypowiedzenie umowy nastąpiło 10.02.2025 r., a opuszczenie lokalu 15.03.2025 r. [Źródło 1]. Termin na zwrot kaucji to 30 dni od daty opróżnienia lokalu, czyli do 14.04.2025 r. Zatem termin przedawnienia rozpocznie się od 15.04.2025 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Terminy procesowe i dowodowe:</w:t>
      </w:r>
    </w:p>
    <w:p>
      <w:pPr>
        <w:pStyle w:val="Compact"/>
        <w:numPr>
          <w:ilvl w:val="1"/>
          <w:numId w:val="1008"/>
        </w:numPr>
      </w:pPr>
      <w:r>
        <w:rPr>
          <w:b/>
          <w:bCs/>
        </w:rPr>
        <w:t xml:space="preserve">Ogólne terminy procesowe:</w:t>
      </w:r>
      <w:r>
        <w:t xml:space="preserve"> </w:t>
      </w:r>
      <w:r>
        <w:t xml:space="preserve">Pozew należy złożyć przed upływem terminu przedawnienia. W postępowaniu cywilnym obowiązuje zasada koncentracji materiału dowodowego. Art. 205^3 § 2 k.p.c. stanowi, że przewodniczący może zobowiązać stronę, by w piśmie przygotowawczym podała wszystkie twierdzenia i dowody istotne dla rozstrzygnięcia sprawy pod rygorem utraty prawa do ich powoływania w toku dalszego postępowania. Twierdzenia i dowody zgłoszone z naruszeniem tego obowiązku podlegają pominięciu, chyba że strona uprawdopodobni, iż ich powołanie w piśmie przygotowawczym nie było możliwe albo że potrzeba ich powołania wynikła później [Kodeks postępowania cywilnego Art. 205³]. Podobnie Art. 6 k.c. i Art. 232 k.p.c. nakładają na strony obowiązek udowadniania faktów, z których wywodzą skutki prawne [Źródło 2, 4, 8, 10, 11, 12, 13, 14, 15, 17].</w:t>
      </w:r>
    </w:p>
    <w:p>
      <w:pPr>
        <w:pStyle w:val="Compact"/>
        <w:numPr>
          <w:ilvl w:val="1"/>
          <w:numId w:val="1008"/>
        </w:numPr>
      </w:pPr>
      <w:r>
        <w:rPr>
          <w:b/>
          <w:bCs/>
        </w:rPr>
        <w:t xml:space="preserve">Termin przedawnienia czynszu i ewentualnych roszczeń Wynajmującego o szkody:</w:t>
      </w:r>
      <w:r>
        <w:t xml:space="preserve"> </w:t>
      </w:r>
      <w:r>
        <w:t xml:space="preserve">Roszczenia o zapłatę czynszu najmu przedawniają się z upływem trzech lat (Art. 118 k.c. – brak w przekazanym stanie prawnym). Roszczenia o naprawienie szkody z tytułu uszkodzenia rzeczy najętej również podlegają trzyletniemu przedawnieniu od dnia zwrotu rzeczy (Art. 677 k.c. – brak w przekazanym stanie prawnym). Roszczenia Wynajmującego o szkody (jeśli takie by się pojawiły) również rozpoczną bieg przedawnienia od dnia opuszczenia lokalu przez A. N., tj. 15.03.2025 r.</w:t>
      </w:r>
    </w:p>
    <w:bookmarkEnd w:id="15"/>
    <w:bookmarkStart w:id="16" w:name="kwestie-dowodowe-i-biegowe"/>
    <w:p>
      <w:pPr>
        <w:pStyle w:val="Heading4"/>
      </w:pPr>
      <w:r>
        <w:t xml:space="preserve">3. Kwestie dowodowe i biegowe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Kluczowe dowody: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Korespondencja SMS:</w:t>
      </w:r>
      <w:r>
        <w:t xml:space="preserve"> </w:t>
      </w:r>
      <w:r>
        <w:t xml:space="preserve">SMS-y potwierdzające zgłoszenie awarii przez A. N. i zgodę Wynajmującego na zlecenie naprawy przez nią [Źródło 1] będą miały kluczowe znaczenie. Dopuszczalność dowodów z SMS-ów jest szeroko akceptowana w orzecznictwie.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Faktura HS/████/██/██ z 12.12.2024 r. na kwotę 1 950 zł brutto:</w:t>
      </w:r>
      <w:r>
        <w:t xml:space="preserve"> </w:t>
      </w:r>
      <w:r>
        <w:t xml:space="preserve">Faktura wystawiona na A. N., dokumentująca koszt naprawy [Źródło 1], jest podstawowym dowodem poniesienia wydatku. W orzecznictwie (np. Sąd Rejonowy w Koninie, V GC 672/16, czy Sąd Rejonowy w Olsztynie, I C 981/17) podkreśla się, że powód musi udowodnić istnienie i wysokość wierzytelności [Źródło 2, 10, 11, 12, 13, 14, 15, 17]. Faktura sama w sobie dowodzi poniesienia kosztu, ale niekoniecznie jego zasadności czy związku z odpowiedzialnością Wynajmującego.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Protokół zdawczo-odbiorczy (brak podpisu Wynajmującego):</w:t>
      </w:r>
      <w:r>
        <w:t xml:space="preserve"> </w:t>
      </w:r>
      <w:r>
        <w:t xml:space="preserve">Brak podpisu Wynajmującego osłabia moc dowodową protokołu w zakresie jego twierdzeń o stanie lokalu przy zdaniu go, jednakże nie dyskwalifikuje go całkowicie. Może on służyć jako dowód na okoliczność jednostronnego zgłoszenia stanu lokalu przez A. N..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Opinie rzeczoznawców/ekspertyzy:</w:t>
      </w:r>
      <w:r>
        <w:t xml:space="preserve"> </w:t>
      </w:r>
      <w:r>
        <w:t xml:space="preserve">W przypadku sporu co do przyczyny awarii i zasadności kosztów naprawy, opinia biegłego rzeczoznawcy (np. z zakresu hydrauliki lub budownictwa) będzie kluczowa. Biegły mógłby ocenić, czy awaria była wynikiem normalnego zużycia, wady instalacji, czy też niewłaściwego użytkowania, oraz czy koszt naprawy był adekwatny [Źródło 1]. Wniosek o dopuszczenie dowodu z opinii biegłego może być zgłoszony w pozwie lub pismach przygotowawczych (Art. 187 § 2 pkt 1 k.p.c. oraz Art. 205^3 § 2 k.p.c.) [Kodeks postępowania cywilnego Art. 187, Kodeks postępowania cywilnego Art. 205³].</w:t>
      </w:r>
    </w:p>
    <w:p>
      <w:pPr>
        <w:pStyle w:val="Compact"/>
        <w:numPr>
          <w:ilvl w:val="1"/>
          <w:numId w:val="1010"/>
        </w:numPr>
      </w:pPr>
      <w:r>
        <w:rPr>
          <w:b/>
          <w:bCs/>
        </w:rPr>
        <w:t xml:space="preserve">Zeznania świadków:</w:t>
      </w:r>
      <w:r>
        <w:t xml:space="preserve"> </w:t>
      </w:r>
      <w:r>
        <w:t xml:space="preserve">Zeznania osoby z firmy „„H. sp. z o.o.””, która dokonała naprawy, mogą potwierdzić charakter awarii i zakres wykonanych prac.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Faktura wystawiona na A. N.:</w:t>
      </w:r>
      <w:r>
        <w:t xml:space="preserve"> </w:t>
      </w:r>
      <w:r>
        <w:t xml:space="preserve">Faktura uprawnia A. N. do domagania się zwrotu kosztów od Wynajmującego, pod warunkiem udowodnienia, że to Wynajmujący był odpowiedzialny za naprawę. Konieczne będzie przedstawienie dowodów na to, że:</w:t>
      </w:r>
    </w:p>
    <w:p>
      <w:pPr>
        <w:pStyle w:val="Compact"/>
        <w:numPr>
          <w:ilvl w:val="1"/>
          <w:numId w:val="1011"/>
        </w:numPr>
      </w:pPr>
      <w:r>
        <w:t xml:space="preserve">Awaria nie wynikała z niewłaściwego użytkowania przez A. N..</w:t>
      </w:r>
    </w:p>
    <w:p>
      <w:pPr>
        <w:pStyle w:val="Compact"/>
        <w:numPr>
          <w:ilvl w:val="1"/>
          <w:numId w:val="1011"/>
        </w:numPr>
      </w:pPr>
      <w:r>
        <w:t xml:space="preserve">Naprawa była konieczna i pilna.</w:t>
      </w:r>
    </w:p>
    <w:p>
      <w:pPr>
        <w:pStyle w:val="Compact"/>
        <w:numPr>
          <w:ilvl w:val="1"/>
          <w:numId w:val="1011"/>
        </w:numPr>
      </w:pPr>
      <w:r>
        <w:t xml:space="preserve">Cena za naprawę była rynkowa i rozsądna.</w:t>
      </w:r>
      <w:r>
        <w:t xml:space="preserve"> </w:t>
      </w:r>
      <w:r>
        <w:t xml:space="preserve">Dodatkowe czynności dowodowe, takie jak opinia rzeczoznawcy, zeznania świadków (np. pracownika HydroSerwis) oraz ewentualny protokół z miejsca awarii (jeśli został sporządzony), będą wzmacniać pozycję A. N..</w:t>
      </w:r>
    </w:p>
    <w:bookmarkEnd w:id="16"/>
    <w:bookmarkStart w:id="17" w:name="X55249e4179dec0166471dffbc6c9d251c37f880"/>
    <w:p>
      <w:pPr>
        <w:pStyle w:val="Heading4"/>
      </w:pPr>
      <w:r>
        <w:t xml:space="preserve">4. Wyliczenie kwotowe roszczeń oraz ryzyka ekonomiczne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Wyliczenie roszczenia A. N.:</w:t>
      </w:r>
    </w:p>
    <w:p>
      <w:pPr>
        <w:pStyle w:val="Compact"/>
        <w:numPr>
          <w:ilvl w:val="1"/>
          <w:numId w:val="1013"/>
        </w:numPr>
      </w:pPr>
      <w:r>
        <w:t xml:space="preserve">Koszty naprawy: 1 950,00 zł [Źródło 1].</w:t>
      </w:r>
    </w:p>
    <w:p>
      <w:pPr>
        <w:pStyle w:val="Compact"/>
        <w:numPr>
          <w:ilvl w:val="1"/>
          <w:numId w:val="1013"/>
        </w:numPr>
      </w:pPr>
      <w:r>
        <w:t xml:space="preserve">Potrącona z kaucji kwota: 950,00 zł [Źródło 1].</w:t>
      </w:r>
    </w:p>
    <w:p>
      <w:pPr>
        <w:pStyle w:val="Compact"/>
        <w:numPr>
          <w:ilvl w:val="1"/>
          <w:numId w:val="1013"/>
        </w:numPr>
      </w:pPr>
      <w:r>
        <w:t xml:space="preserve">Zatrzymana część kaucji: 1 850,00 zł [Źródło 1].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Łączne roszczenie główne: 1 950,00 zł + 950,00 zł + 1 850,00 zł = 4 750,00 zł.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Odsetki ustawowe:</w:t>
      </w:r>
    </w:p>
    <w:p>
      <w:pPr>
        <w:pStyle w:val="Compact"/>
        <w:numPr>
          <w:ilvl w:val="1"/>
          <w:numId w:val="1014"/>
        </w:numPr>
      </w:pPr>
      <w:r>
        <w:rPr>
          <w:b/>
          <w:bCs/>
        </w:rPr>
        <w:t xml:space="preserve">Od kosztów naprawy (1 950 zł):</w:t>
      </w:r>
      <w:r>
        <w:t xml:space="preserve"> </w:t>
      </w:r>
      <w:r>
        <w:t xml:space="preserve">Odsetki ustawowe za opóźnienie powinny być naliczane od dnia wymagalności roszczenia. Data zapłaty faktury to 13.12.2024 r. [Źródło 1]. Jeśli Wynajmujący odmawia zwrotu kosztów, roszczenie stało się wymagalne po bezskutecznym upływie terminu wskazanego w wezwaniu do zapłaty (pierwsze wezwanie 31.12.2024 r. [Źródło 1]). Można przyjąć, że wymagalność nastąpiła np. po 7 dniach od doręczenia wezwania, czyli około 07.01.2025 r.</w:t>
      </w:r>
    </w:p>
    <w:p>
      <w:pPr>
        <w:pStyle w:val="Compact"/>
        <w:numPr>
          <w:ilvl w:val="1"/>
          <w:numId w:val="1014"/>
        </w:numPr>
      </w:pPr>
      <w:r>
        <w:rPr>
          <w:b/>
          <w:bCs/>
        </w:rPr>
        <w:t xml:space="preserve">Od potrąconej z kaucji kwoty (950 zł):</w:t>
      </w:r>
      <w:r>
        <w:t xml:space="preserve"> </w:t>
      </w:r>
      <w:r>
        <w:t xml:space="preserve">Odsetki od tej kwoty powinny być naliczane od dnia potrącenia, tj. 05.02.2025 r. [Źródło 1], ponieważ Wynajmujący bezprawnie pozbawił A. N. tej części kaucji.</w:t>
      </w:r>
    </w:p>
    <w:p>
      <w:pPr>
        <w:pStyle w:val="Compact"/>
        <w:numPr>
          <w:ilvl w:val="1"/>
          <w:numId w:val="1014"/>
        </w:numPr>
      </w:pPr>
      <w:r>
        <w:rPr>
          <w:b/>
          <w:bCs/>
        </w:rPr>
        <w:t xml:space="preserve">Od zatrzymanej kaucji (1 850 zł):</w:t>
      </w:r>
      <w:r>
        <w:t xml:space="preserve"> </w:t>
      </w:r>
      <w:r>
        <w:t xml:space="preserve">Roszczenie o zwrot kaucji stało się wymagalne po upływie 30 dni od opuszczenia lokalu (15.03.2025 r.) [Źródło 1]. Zatem odsetki powinny być naliczane od 15.04.2025 r.</w:t>
      </w:r>
    </w:p>
    <w:p>
      <w:pPr>
        <w:pStyle w:val="Compact"/>
        <w:numPr>
          <w:ilvl w:val="1"/>
          <w:numId w:val="1014"/>
        </w:numPr>
      </w:pPr>
      <w:r>
        <w:rPr>
          <w:b/>
          <w:bCs/>
        </w:rPr>
        <w:t xml:space="preserve">Metodologia obliczenia odsetek:</w:t>
      </w:r>
      <w:r>
        <w:t xml:space="preserve"> </w:t>
      </w:r>
      <w:r>
        <w:t xml:space="preserve">Odsetki ustawowe za opóźnienie oblicza się zgodnie ze stawkami ogłaszanymi przez Ministra Sprawiedliwości. Aktualna stawka odsetek ustawowych za opóźnienie wynosi X% (brak w przekazanym stanie prawnym). Należy zsumować odsetki dla każdej kwoty od wskazanych dat wymagalności do dnia zapłaty.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Koszty procesu: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</w:rPr>
        <w:t xml:space="preserve">Opłata sądowa od pozwu:</w:t>
      </w:r>
      <w:r>
        <w:t xml:space="preserve"> </w:t>
      </w:r>
      <w:r>
        <w:t xml:space="preserve">5% wartości przedmiotu sporu (4 750,00 zł), czyli 0.05 * 4 750,00 zł = 237,50 zł (Art. 13 ust. 1 ustawy o kosztach sądowych w sprawach cywilnych – brak w przekazanym stanie prawnym).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</w:rPr>
        <w:t xml:space="preserve">Koszty zastępstwa procesowego:</w:t>
      </w:r>
      <w:r>
        <w:t xml:space="preserve"> </w:t>
      </w:r>
      <w:r>
        <w:t xml:space="preserve">Zgodnie z rozporządzeniem Ministra Sprawiedliwości w sprawie opłat za czynności adwokackie/radców prawnych. Dla wartości przedmiotu sporu powyżej 1 500 zł do 5 000 zł, stawka minimalna wynosi 900 zł.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</w:rPr>
        <w:t xml:space="preserve">Koszty opinii biegłego:</w:t>
      </w:r>
      <w:r>
        <w:t xml:space="preserve"> </w:t>
      </w:r>
      <w:r>
        <w:t xml:space="preserve">Szacowany koszt opinii biegłego może wynosić od kilkuset do kilku tysięcy złotych, w zależności od złożoności sprawy. Jest to znaczące ryzyko finansowe. W przypadku wygrania sprawy, Wynajmujący będzie zobowiązany do zwrotu tych kosztów.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Ryzyka finansowe i szanse: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Szanse na zasądzenie pełnej kwoty:</w:t>
      </w:r>
      <w:r>
        <w:t xml:space="preserve"> </w:t>
      </w:r>
      <w:r>
        <w:t xml:space="preserve">Wysokie, biorąc pod uwagę argumentację A. N. i bezprawność zatrzymania kaucji. Kluczowe będzie udowodnienie, że awaria nie była winą A. N. oraz zasadności kosztów naprawy.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Ryzyko kontrroszczeń Wynajmującego:</w:t>
      </w:r>
      <w:r>
        <w:t xml:space="preserve"> </w:t>
      </w:r>
      <w:r>
        <w:t xml:space="preserve">Wynajmujący może próbować podnieść kontrroszczenia z tytułu rzekomego niewłaściwego użytkowania lub innych szkód [Źródło 1]. Należy to uwzględnić i przygotować się na odparcie takich zarzutów. Jeżeli Wynajmujący udowodni swoją szkodę, może to wpłynąć na ostateczną kwotę zasądzoną na rzecz A. N..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Koszty opinii biegłego:</w:t>
      </w:r>
      <w:r>
        <w:t xml:space="preserve"> </w:t>
      </w:r>
      <w:r>
        <w:t xml:space="preserve">To główne ryzyko. Jeśli sąd uzna opinię biegłego za niezbędną, A. N.a będzie musiała wstępnie pokryć te koszty.</w:t>
      </w:r>
    </w:p>
    <w:bookmarkEnd w:id="17"/>
    <w:bookmarkStart w:id="18" w:name="rejestr-ryzyk-i-szans"/>
    <w:p>
      <w:pPr>
        <w:pStyle w:val="Heading4"/>
      </w:pPr>
      <w:r>
        <w:t xml:space="preserve">5. Rejestr ryzyk i szans</w:t>
      </w:r>
    </w:p>
    <w:p>
      <w:pPr>
        <w:pStyle w:val="FirstParagraph"/>
      </w:pPr>
      <w:r>
        <w:rPr>
          <w:b/>
          <w:bCs/>
        </w:rPr>
        <w:t xml:space="preserve">Mocne strony sprawy (Szanse):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Zgoda Wynajmującego na naprawę SMS-em:</w:t>
      </w:r>
      <w:r>
        <w:t xml:space="preserve"> </w:t>
      </w:r>
      <w:r>
        <w:t xml:space="preserve">Potwierdza, że Wynajmujący wiedział o awarii i zaakceptował podjęcie działań przez A. N.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Bezpodstawne zatrzymanie kaucji:</w:t>
      </w:r>
      <w:r>
        <w:t xml:space="preserve"> </w:t>
      </w:r>
      <w:r>
        <w:t xml:space="preserve">Wynajmujący bezpodstawnie zatrzymał znaczną część kaucji [Źródło 1], co jest działaniem sprzecznym z prawem i powinno skutkować zwrotem.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Faktura za naprawę:</w:t>
      </w:r>
      <w:r>
        <w:t xml:space="preserve"> </w:t>
      </w:r>
      <w:r>
        <w:t xml:space="preserve">A. N.a posiada dowód poniesienia kosztów naprawy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Rodzaj awarii:</w:t>
      </w:r>
      <w:r>
        <w:t xml:space="preserve"> </w:t>
      </w:r>
      <w:r>
        <w:t xml:space="preserve">Instalacja centralnego ogrzewania i przecieki w łazience zazwyczaj obciążają Wynajmującego, co osłabia argumentację o winie A. N..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Brak protokołu zdawczo-odbiorczego z podpisem Wynajmującego:</w:t>
      </w:r>
      <w:r>
        <w:t xml:space="preserve"> </w:t>
      </w:r>
      <w:r>
        <w:t xml:space="preserve">Może utrudnić Wynajmującemu udowodnienie stanu lokalu przy zdaniu i istnienia ewentualnych szkód spowodowanych przez A. N..</w:t>
      </w:r>
    </w:p>
    <w:p>
      <w:pPr>
        <w:pStyle w:val="BodyText"/>
      </w:pPr>
      <w:r>
        <w:rPr>
          <w:b/>
          <w:bCs/>
        </w:rPr>
        <w:t xml:space="preserve">Słabe strony sprawy (Ryzyka):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Klauzula § 12 umowy:</w:t>
      </w:r>
      <w:r>
        <w:t xml:space="preserve"> </w:t>
      </w:r>
      <w:r>
        <w:t xml:space="preserve">Stanowi punkt zaczepienia dla Wynajmującego, jeśli uda mu się udowodnić, że awaria nie wynikała z normalnego zużycia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Brak pisemnego protokołu z oględzin przed naprawą:</w:t>
      </w:r>
      <w:r>
        <w:t xml:space="preserve"> </w:t>
      </w:r>
      <w:r>
        <w:t xml:space="preserve">Utrudnia jednoznaczne udowodnienie przyczyny awarii bez opinii biegłego.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Brak pisemnego wezwania Wynajmującego do naprawy z terminem:</w:t>
      </w:r>
      <w:r>
        <w:t xml:space="preserve"> </w:t>
      </w:r>
      <w:r>
        <w:t xml:space="preserve">Choć zgoda SMS-em jest, formalne wezwanie z terminem wzmocniłoby pozycję A. N..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Potencjalne kontrroszczenia Wynajmującego:</w:t>
      </w:r>
      <w:r>
        <w:t xml:space="preserve"> </w:t>
      </w:r>
      <w:r>
        <w:t xml:space="preserve">Wynajmujący może podnieść roszczenia o szkody, co wydłuży postępowanie i zwiększy koszty.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Koszty opinii biegłego:</w:t>
      </w:r>
      <w:r>
        <w:t xml:space="preserve"> </w:t>
      </w:r>
      <w:r>
        <w:t xml:space="preserve">Zwiększają ryzyko finansowe A. N..</w:t>
      </w:r>
    </w:p>
    <w:p>
      <w:pPr>
        <w:pStyle w:val="BodyText"/>
      </w:pPr>
      <w:r>
        <w:rPr>
          <w:b/>
          <w:bCs/>
        </w:rPr>
        <w:t xml:space="preserve">Kontrargumenty strony przeciwnej (Wynajmującego):</w:t>
      </w:r>
      <w:r>
        <w:t xml:space="preserve"> </w:t>
      </w:r>
      <w:r>
        <w:t xml:space="preserve">* Awaria wynikła z niewłaściwego użytkowania przez A. N., zgodnie z § 12 umowy [Źródło 1].</w:t>
      </w:r>
      <w:r>
        <w:t xml:space="preserve"> </w:t>
      </w:r>
      <w:r>
        <w:t xml:space="preserve">* Koszt naprawy jest nieuzasadniony/zawieszy i/lub zawyżony.</w:t>
      </w:r>
      <w:r>
        <w:t xml:space="preserve"> </w:t>
      </w:r>
      <w:r>
        <w:t xml:space="preserve">* Potrącenie było zasadne, a zatrzymanie kaucji wynika z prawa do zabezpieczenia.</w:t>
      </w:r>
      <w:r>
        <w:t xml:space="preserve"> </w:t>
      </w:r>
      <w:r>
        <w:t xml:space="preserve">* A. N.a przedwcześnie wypowiedziała umowę, a Wynajmujący ma roszczenia o czynsz za pozostały okres najmu (chociaż umowa została wypowiedziana 10.02.2025, a lokal opuszczony 15.03.2025, co skraca ten okres [Źródło 1]).</w:t>
      </w:r>
    </w:p>
    <w:p>
      <w:pPr>
        <w:pStyle w:val="BodyText"/>
      </w:pPr>
      <w:r>
        <w:rPr>
          <w:b/>
          <w:bCs/>
        </w:rPr>
        <w:t xml:space="preserve">Rekomendowana strategia: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Postępowanie przedsądowe (ponowne wezwanie do zapłaty/rozliczenia kaucji):</w:t>
      </w:r>
      <w:r>
        <w:t xml:space="preserve"> </w:t>
      </w:r>
      <w:r>
        <w:t xml:space="preserve">Jest to pierwszy krok, aby ponownie wezwać Wynajmującego do dobrowolnego uregulowania roszczeń. Powinno być szczegółowe, zawierać precyzyjne wyliczenie kwot, podstawy prawne i ostrzeżenie o zamiarze skierowania sprawy do sądu. Wezwanie powinno również podkreślać bezprawność zatrzymania kaucji.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Zalety:</w:t>
      </w:r>
      <w:r>
        <w:t xml:space="preserve"> </w:t>
      </w:r>
      <w:r>
        <w:t xml:space="preserve">Szybkość, niższe koszty niż proces sądowy, możliwość ugodowego rozwiązania sporu.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Wady:</w:t>
      </w:r>
      <w:r>
        <w:t xml:space="preserve"> </w:t>
      </w:r>
      <w:r>
        <w:t xml:space="preserve">Brak gwarancji skuteczności, może być ignorowane przez Wynajmującego.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Szacowany harmonogram:</w:t>
      </w:r>
      <w:r>
        <w:t xml:space="preserve"> </w:t>
      </w:r>
      <w:r>
        <w:t xml:space="preserve">Kilka dni na przygotowanie i wysłanie, 7-14 dni na odpowiedź.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Koszty:</w:t>
      </w:r>
      <w:r>
        <w:t xml:space="preserve"> </w:t>
      </w:r>
      <w:r>
        <w:t xml:space="preserve">Koszty prawnika za przygotowanie wezwania.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Pozew do sądu rejonowego:</w:t>
      </w:r>
      <w:r>
        <w:t xml:space="preserve"> </w:t>
      </w:r>
      <w:r>
        <w:t xml:space="preserve">W przypadku braku reakcji Wynajmującego na wezwanie przedsądowe lub jego negatywnej odpowiedzi. Sąd rejonowy jest właściwy dla spraw o roszczenia pieniężne w niniejszej wysokości.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Zalety:</w:t>
      </w:r>
      <w:r>
        <w:t xml:space="preserve"> </w:t>
      </w:r>
      <w:r>
        <w:t xml:space="preserve">Wiążące rozstrzygnięcie, możliwość uzyskania wyroku z klauzulą wykonalności, co umożliwi egzekucję.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Wady:</w:t>
      </w:r>
      <w:r>
        <w:t xml:space="preserve"> </w:t>
      </w:r>
      <w:r>
        <w:t xml:space="preserve">Długotrwałość postępowania, koszty sądowe (opłata od pozwu, koszty biegłego), stres związany z procesem.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Szacowany harmonogram:</w:t>
      </w:r>
      <w:r>
        <w:t xml:space="preserve"> </w:t>
      </w:r>
      <w:r>
        <w:t xml:space="preserve">Od kilku miesięcy do ponad roku, w zależności od złożoności dowodowej (np. opinia biegłego).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Koszty:</w:t>
      </w:r>
      <w:r>
        <w:t xml:space="preserve"> </w:t>
      </w:r>
      <w:r>
        <w:t xml:space="preserve">Opłata sądowa (237,50 zł), koszty zastępstwa procesowego (900 zł), zaliczka na biegłego (kilkaset do kilku tysięcy zł).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Mediacja:</w:t>
      </w:r>
      <w:r>
        <w:t xml:space="preserve"> </w:t>
      </w:r>
      <w:r>
        <w:t xml:space="preserve">Może być podjęta na etapie przedsądowym lub w trakcie postępowania sądowego (za zgodą obu stron lub na zarządzenie sądu).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Zalety:</w:t>
      </w:r>
      <w:r>
        <w:t xml:space="preserve"> </w:t>
      </w:r>
      <w:r>
        <w:t xml:space="preserve">Pomoc bezstronnego mediatora w znalezieniu kompromisu, niższe koszty niż proces sądowy, szybsze rozwiązanie, możliwość zachowania dobrych relacji (jeśli to istotne).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Wady:</w:t>
      </w:r>
      <w:r>
        <w:t xml:space="preserve"> </w:t>
      </w:r>
      <w:r>
        <w:t xml:space="preserve">Wymaga zgody obu stron, nie daje gwarancji rozwiązania sporu.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Szacowany harmonogram:</w:t>
      </w:r>
      <w:r>
        <w:t xml:space="preserve"> </w:t>
      </w:r>
      <w:r>
        <w:t xml:space="preserve">Kilka tygodni.</w:t>
      </w:r>
    </w:p>
    <w:p>
      <w:pPr>
        <w:pStyle w:val="Compact"/>
        <w:numPr>
          <w:ilvl w:val="1"/>
          <w:numId w:val="1020"/>
        </w:numPr>
      </w:pPr>
      <w:r>
        <w:rPr>
          <w:b/>
          <w:bCs/>
        </w:rPr>
        <w:t xml:space="preserve">Koszty:</w:t>
      </w:r>
      <w:r>
        <w:t xml:space="preserve"> </w:t>
      </w:r>
      <w:r>
        <w:t xml:space="preserve">Wynagrodzenie mediatora (często dzielone po połowie).</w:t>
      </w:r>
    </w:p>
    <w:p>
      <w:pPr>
        <w:pStyle w:val="FirstParagraph"/>
      </w:pPr>
      <w:r>
        <w:rPr>
          <w:b/>
          <w:bCs/>
        </w:rPr>
        <w:t xml:space="preserve">Rekomendowana strategia to najpierw wezwanie przedsądowe, a w przypadku jego bezskuteczności – złożenie pozwu do sądu rejonowego.</w:t>
      </w:r>
      <w:r>
        <w:t xml:space="preserve"> </w:t>
      </w:r>
      <w:r>
        <w:t xml:space="preserve">Mediacja może być rozważona na obu etapach.</w:t>
      </w:r>
    </w:p>
    <w:bookmarkEnd w:id="18"/>
    <w:bookmarkEnd w:id="19"/>
    <w:bookmarkEnd w:id="20"/>
    <w:bookmarkStart w:id="21" w:name="instrukcja-kolejnych-kroków"/>
    <w:p>
      <w:pPr>
        <w:pStyle w:val="Heading2"/>
      </w:pPr>
      <w:r>
        <w:t xml:space="preserve">Instrukcja kolejnych kroków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Przygotowanie i wysłanie Wezwania przedsądowego (druga wersja):</w:t>
      </w:r>
    </w:p>
    <w:p>
      <w:pPr>
        <w:pStyle w:val="Compact"/>
        <w:numPr>
          <w:ilvl w:val="1"/>
          <w:numId w:val="1022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Natychmiast po akceptacji strategii przez Klientkę.</w:t>
      </w:r>
    </w:p>
    <w:p>
      <w:pPr>
        <w:pStyle w:val="Compact"/>
        <w:numPr>
          <w:ilvl w:val="1"/>
          <w:numId w:val="1022"/>
        </w:numPr>
      </w:pPr>
      <w:r>
        <w:rPr>
          <w:b/>
          <w:bCs/>
        </w:rPr>
        <w:t xml:space="preserve">Czynności:</w:t>
      </w:r>
      <w:r>
        <w:t xml:space="preserve"> </w:t>
      </w:r>
      <w:r>
        <w:t xml:space="preserve">Opracowanie szczegółowego wezwania do zapłaty i zwrotu kaucji, z uwzględnieniem wszystkich roszczeń (koszty naprawy, potrącona i zatrzymana kaucja), podstaw prawnych oraz zagrożenia skierowania sprawy do sądu. Wskazanie terminu na zapłatę (np. 7 lub 14 dni).</w:t>
      </w:r>
    </w:p>
    <w:p>
      <w:pPr>
        <w:pStyle w:val="Compact"/>
        <w:numPr>
          <w:ilvl w:val="1"/>
          <w:numId w:val="1022"/>
        </w:numPr>
      </w:pPr>
      <w:r>
        <w:rPr>
          <w:b/>
          <w:bCs/>
        </w:rPr>
        <w:t xml:space="preserve">Dokumenty do zabezpieczenia:</w:t>
      </w:r>
      <w:r>
        <w:t xml:space="preserve"> </w:t>
      </w:r>
      <w:r>
        <w:t xml:space="preserve">Oryginał wezwania, potwierdzenie nadania listem poleconym za zwrotnym potwierdzeniem odbioru.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Oczekiwanie na odpowiedź Wynajmującego:</w:t>
      </w:r>
    </w:p>
    <w:p>
      <w:pPr>
        <w:pStyle w:val="Compact"/>
        <w:numPr>
          <w:ilvl w:val="1"/>
          <w:numId w:val="1023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Zgodnie z terminem wskazanym w wezwaniu (7-14 dni).</w:t>
      </w:r>
    </w:p>
    <w:p>
      <w:pPr>
        <w:pStyle w:val="Compact"/>
        <w:numPr>
          <w:ilvl w:val="1"/>
          <w:numId w:val="1023"/>
        </w:numPr>
      </w:pPr>
      <w:r>
        <w:rPr>
          <w:b/>
          <w:bCs/>
        </w:rPr>
        <w:t xml:space="preserve">Czynności:</w:t>
      </w:r>
      <w:r>
        <w:t xml:space="preserve"> </w:t>
      </w:r>
      <w:r>
        <w:t xml:space="preserve">Monitorowanie korespondencji.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 przypadku braku zapłaty lub odmowy:</w:t>
      </w:r>
    </w:p>
    <w:p>
      <w:pPr>
        <w:pStyle w:val="Compact"/>
        <w:numPr>
          <w:ilvl w:val="1"/>
          <w:numId w:val="1024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Niezwłocznie po upływie terminu na odpowiedź/zapłatę.</w:t>
      </w:r>
    </w:p>
    <w:p>
      <w:pPr>
        <w:pStyle w:val="Compact"/>
        <w:numPr>
          <w:ilvl w:val="1"/>
          <w:numId w:val="1024"/>
        </w:numPr>
      </w:pPr>
      <w:r>
        <w:rPr>
          <w:b/>
          <w:bCs/>
        </w:rPr>
        <w:t xml:space="preserve">Czynności:</w:t>
      </w:r>
      <w:r>
        <w:t xml:space="preserve"> </w:t>
      </w:r>
      <w:r>
        <w:t xml:space="preserve">Przygotowanie pozwu o zapłatę do Sądu Rejonowego.</w:t>
      </w:r>
    </w:p>
    <w:p>
      <w:pPr>
        <w:pStyle w:val="Compact"/>
        <w:numPr>
          <w:ilvl w:val="1"/>
          <w:numId w:val="1024"/>
        </w:numPr>
      </w:pPr>
      <w:r>
        <w:rPr>
          <w:b/>
          <w:bCs/>
        </w:rPr>
        <w:t xml:space="preserve">Dokumenty do zabezpieczenia:</w:t>
      </w:r>
      <w:r>
        <w:t xml:space="preserve"> </w:t>
      </w:r>
      <w:r>
        <w:t xml:space="preserve">Wszystkie zebrane dowody (umowa najmu, SMS-y, faktura, potwierdzenie zapłaty, korespondencja przedsądowa), a w razie potrzeby również przygotowanie wniosków o dopuszczenie dowodu z opinii biegłego sądowego z zakresu hydrauliki/budownictwa oraz zeznań świadków (pracownik HydroSerwis).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Złożenie pozwu do sądu:</w:t>
      </w:r>
    </w:p>
    <w:p>
      <w:pPr>
        <w:pStyle w:val="Compact"/>
        <w:numPr>
          <w:ilvl w:val="1"/>
          <w:numId w:val="1025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Przed upływem terminów przedawnienia roszczeń.</w:t>
      </w:r>
    </w:p>
    <w:p>
      <w:pPr>
        <w:pStyle w:val="Compact"/>
        <w:numPr>
          <w:ilvl w:val="1"/>
          <w:numId w:val="1025"/>
        </w:numPr>
      </w:pPr>
      <w:r>
        <w:rPr>
          <w:b/>
          <w:bCs/>
        </w:rPr>
        <w:t xml:space="preserve">Czynności:</w:t>
      </w:r>
      <w:r>
        <w:t xml:space="preserve"> </w:t>
      </w:r>
      <w:r>
        <w:t xml:space="preserve">Złożenie pozwu wraz z załącznikami i opłatą sądową.</w:t>
      </w:r>
    </w:p>
    <w:bookmarkEnd w:id="21"/>
    <w:bookmarkStart w:id="22" w:name="rekomendowane-pisma"/>
    <w:p>
      <w:pPr>
        <w:pStyle w:val="Heading2"/>
      </w:pPr>
      <w:r>
        <w:t xml:space="preserve">Rekomendowane pisma</w:t>
      </w:r>
    </w:p>
    <w:p>
      <w:pPr>
        <w:pStyle w:val="FirstParagraph"/>
      </w:pPr>
      <w:r>
        <w:t xml:space="preserve">Opinia prawna dla Klienta (A. N.)</w:t>
      </w:r>
      <w:r>
        <w:t xml:space="preserve"> </w:t>
      </w:r>
      <w:r>
        <w:t xml:space="preserve">[[PROPOSE_DOC: Opinia prawna]]</w:t>
      </w:r>
      <w:r>
        <w:t xml:space="preserve"> </w:t>
      </w:r>
      <w:r>
        <w:t xml:space="preserve">[[PROPOSE_DOC: Wezwanie przedsądowe]]</w:t>
      </w:r>
    </w:p>
    <w:p>
      <w:r>
        <w:pict>
          <v:rect style="width:0;height:1.5pt" o:hralign="center" o:hrstd="t" o:hr="t"/>
        </w:pic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2026-10-05T19:14:26Z</dcterms:created>
  <dcterms:modified xsi:type="dcterms:W3CDTF">2026-10-05T19:14:26Z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