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sprawa-055-stan-faktyczny-i-dokumenty"/>
    <w:p>
      <w:pPr>
        <w:pStyle w:val="Heading1"/>
      </w:pPr>
      <w:r>
        <w:t xml:space="preserve">Sprawa 055 — stan faktyczny i dokumenty</w:t>
      </w:r>
    </w:p>
    <w:bookmarkStart w:id="9" w:name="X70c1e536ca3d0a9ab82f0125e1bc42fbef547d0"/>
    <w:p>
      <w:pPr>
        <w:pStyle w:val="Heading2"/>
      </w:pPr>
      <w:r>
        <w:t xml:space="preserve">CZĘŚĆ I. SPRAWA (kazus + załączniki — dane testowe)</w:t>
      </w:r>
    </w:p>
    <w:bookmarkEnd w:id="9"/>
    <w:bookmarkEnd w:id="10"/>
    <w:bookmarkStart w:id="17" w:name="X83202af9fbf39e037448491ec2a53e9a80b3353"/>
    <w:p>
      <w:pPr>
        <w:pStyle w:val="Heading1"/>
      </w:pPr>
      <w:r>
        <w:t xml:space="preserve">STAN FAKTYCZNY I ZADANIE DLA KANCELARII (KAZUS: NAJEM I NIERUCHOMOŚCI)</w:t>
      </w:r>
    </w:p>
    <w:bookmarkStart w:id="11" w:name="i.-zwięzły-opis-stanu-faktycznego"/>
    <w:p>
      <w:pPr>
        <w:pStyle w:val="Heading2"/>
      </w:pPr>
      <w:r>
        <w:t xml:space="preserve">I. Zwięzły opis stanu faktycznego</w:t>
      </w:r>
    </w:p>
    <w:p>
      <w:pPr>
        <w:pStyle w:val="Compact"/>
        <w:numPr>
          <w:ilvl w:val="0"/>
          <w:numId w:val="1001"/>
        </w:numPr>
      </w:pPr>
      <w:r>
        <w:t xml:space="preserve">Strony sprawy:</w:t>
      </w:r>
    </w:p>
    <w:p>
      <w:pPr>
        <w:pStyle w:val="Compact"/>
        <w:numPr>
          <w:ilvl w:val="1"/>
          <w:numId w:val="1002"/>
        </w:numPr>
      </w:pPr>
      <w:r>
        <w:t xml:space="preserve">D. sp. z o.o.: D. sp. z o.o., siedziba: Warszawa; NIP ███-███-██-██; reprezentowana przez Prezesa Zarządu M. K. (PESEL ███████████). Księga wieczysta dla działki nr ██/██ prowadzona przez Sąd Rejonowy dla Warszawy-Śródmieścia, IV Wydział Ksiąg Wieczystych, KW WA1W/████████/█.</w:t>
      </w:r>
    </w:p>
    <w:p>
      <w:pPr>
        <w:pStyle w:val="Compact"/>
        <w:numPr>
          <w:ilvl w:val="1"/>
          <w:numId w:val="1002"/>
        </w:numPr>
      </w:pPr>
      <w:r>
        <w:t xml:space="preserve">Nabywca / Twój Klient: A. N., zam. Piaseczno; PESEL ███████████; nabywca mieszkania nr 24 w inwestycji „Osiedle Zielone II”.</w:t>
      </w:r>
    </w:p>
    <w:p>
      <w:pPr>
        <w:pStyle w:val="Compact"/>
        <w:numPr>
          <w:ilvl w:val="0"/>
          <w:numId w:val="1001"/>
        </w:numPr>
      </w:pPr>
      <w:r>
        <w:t xml:space="preserve">Dokładne daty zdarzeń, kwoty i numery dokumentów:</w:t>
      </w:r>
    </w:p>
    <w:p>
      <w:pPr>
        <w:pStyle w:val="Compact"/>
        <w:numPr>
          <w:ilvl w:val="1"/>
          <w:numId w:val="1003"/>
        </w:numPr>
      </w:pPr>
      <w:r>
        <w:t xml:space="preserve">10 stycznia 2024 r. – podpisanie umowy deweloperskiej nr DI/████/███ pomiędzy D. sp. z o.o. a Anną Nowak (załącznik nr 1). Cena sprzedaży lokalu mieszkalnego nr 24: 620 000,00 zł brutto (w tym VAT 23%). W umowie przewidziano płatność w transzach: wkład własny 10% przy zawarciu umowy (62 000,00 zł), pozostała część przy przeniesieniu własności.</w:t>
      </w:r>
    </w:p>
    <w:p>
      <w:pPr>
        <w:pStyle w:val="Compact"/>
        <w:numPr>
          <w:ilvl w:val="1"/>
          <w:numId w:val="1003"/>
        </w:numPr>
      </w:pPr>
      <w:r>
        <w:t xml:space="preserve">Umowa przewidywała, że środki wpłacone przez Nabywcę będą gromadzone na mieszkaniowym rachunku powierniczym prowadzonym przez B. S.A. dla „D. sp. z o.o.” o nr rachunku ██ ████ ████ ████ ████ ████ ████ (dalej: „Rachunek Powierniczy”), zgodnie z zasadami określonymi w § 6 umowy (szczegóły w załączniku 1).</w:t>
      </w:r>
    </w:p>
    <w:p>
      <w:pPr>
        <w:pStyle w:val="Compact"/>
        <w:numPr>
          <w:ilvl w:val="1"/>
          <w:numId w:val="1003"/>
        </w:numPr>
      </w:pPr>
      <w:r>
        <w:t xml:space="preserve">15 stycznia 2024 r. – A. N. przelała 62 000,00 zł (kwota brutto) na wskazany Rachunek Powierniczy (dowód wpłaty w posiadaniu klientki).</w:t>
      </w:r>
    </w:p>
    <w:p>
      <w:pPr>
        <w:pStyle w:val="Compact"/>
        <w:numPr>
          <w:ilvl w:val="1"/>
          <w:numId w:val="1003"/>
        </w:numPr>
      </w:pPr>
      <w:r>
        <w:t xml:space="preserve">01 marca 2024 r. – D. sp. z o.o. wystawił fakturę VAT nr FV/████/███ na kwotę 558 536,59 zł netto + 128 463,41 zł VAT = 687 000,00 zł (błąd kwotowy względem umowy) – faktura została zakwestionowana przez Panią Nowak (korespondencja e-mail 03.03.2024 r.).</w:t>
      </w:r>
    </w:p>
    <w:p>
      <w:pPr>
        <w:pStyle w:val="Compact"/>
        <w:numPr>
          <w:ilvl w:val="1"/>
          <w:numId w:val="1003"/>
        </w:numPr>
      </w:pPr>
      <w:r>
        <w:t xml:space="preserve">20 maja 2024 r. – Warszawski Oddział B. S.A. wysłał oświadczenie do Nabywców inwestycji, że rachunek powierniczy został „zamrożony” w związku z zabezpieczeniem wierzytelności banku wobec D. sp. z o.o. (kopie pism w aktach klientki).</w:t>
      </w:r>
    </w:p>
    <w:p>
      <w:pPr>
        <w:pStyle w:val="Compact"/>
        <w:numPr>
          <w:ilvl w:val="1"/>
          <w:numId w:val="1003"/>
        </w:numPr>
      </w:pPr>
      <w:r>
        <w:t xml:space="preserve">05 czerwca 2024 r. – ogłoszenie przez Zarząd D. sp. z o.o. zawieszenia wypłat z Rachunku Powierniczego do czasu „wyjaśnienia sytuacji finansowej spółki”.</w:t>
      </w:r>
    </w:p>
    <w:p>
      <w:pPr>
        <w:pStyle w:val="Compact"/>
        <w:numPr>
          <w:ilvl w:val="1"/>
          <w:numId w:val="1003"/>
        </w:numPr>
      </w:pPr>
      <w:r>
        <w:t xml:space="preserve">12 czerwca 2024 r. – A. N. otrzymała pismo od pełnomocnika D. sp. z o.o., w którym deweloper twierdzi, że Rachunek Powierniczy nie stanowi rachunku zamkniętego i że środki mogą być użyte na pokrycie kosztów inwestycji zgodnie z harmonogramem płatności; żąda uzupełnienia płatności o 5% wartości lokalu (31 000,00 zł) jako „opłaty rezerwacyjnej” do 30 czerwca 2024 r.</w:t>
      </w:r>
    </w:p>
    <w:p>
      <w:pPr>
        <w:pStyle w:val="Compact"/>
        <w:numPr>
          <w:ilvl w:val="1"/>
          <w:numId w:val="1003"/>
        </w:numPr>
      </w:pPr>
      <w:r>
        <w:t xml:space="preserve">01 lipca 2024 r. – na stronie internetowej D. sp. z o.o. pojawiła się informacja o „restrukturyzacji” i wezwaniu wierzycieli do zgłaszania roszczeń.</w:t>
      </w:r>
    </w:p>
    <w:p>
      <w:pPr>
        <w:pStyle w:val="Compact"/>
        <w:numPr>
          <w:ilvl w:val="1"/>
          <w:numId w:val="1003"/>
        </w:numPr>
      </w:pPr>
      <w:r>
        <w:t xml:space="preserve">15 sierpnia 2024 r. – A. N. zgłosiła reklamację do B. S.A. o zwrot wpłaconych 62 000,00 zł. B. S.A. odmówił 05.09.2024 r. (odmowa oparta na twierdzeniu, że środki są zabezpieczeniem i podlegać mają roszczeniom wierzycieli spółki).</w:t>
      </w:r>
    </w:p>
    <w:p>
      <w:pPr>
        <w:pStyle w:val="Compact"/>
        <w:numPr>
          <w:ilvl w:val="0"/>
          <w:numId w:val="1001"/>
        </w:numPr>
      </w:pPr>
      <w:r>
        <w:t xml:space="preserve">Przedmiot sprawy i treść kluczowych postanowień umowy:</w:t>
      </w:r>
    </w:p>
    <w:p>
      <w:pPr>
        <w:pStyle w:val="Compact"/>
        <w:numPr>
          <w:ilvl w:val="1"/>
          <w:numId w:val="1004"/>
        </w:numPr>
      </w:pPr>
      <w:r>
        <w:t xml:space="preserve">Przedmiot: ochrona wpłaty nabywcy dokonanej na mieszkaniowy rachunek powierniczy i zasadność żądania zwrotu środków przez Nabywcę; ocena, czy bank i deweloper mogą dysponować kwotą wpłaconą przez klientkę wobec problemów finansowych dewelopera.</w:t>
      </w:r>
    </w:p>
    <w:p>
      <w:pPr>
        <w:pStyle w:val="Compact"/>
        <w:numPr>
          <w:ilvl w:val="1"/>
          <w:numId w:val="1004"/>
        </w:numPr>
      </w:pPr>
      <w:r>
        <w:t xml:space="preserve">Kluczowe postanowienia umowy deweloperskiej nr DI/████/███:</w:t>
      </w:r>
    </w:p>
    <w:p>
      <w:pPr>
        <w:pStyle w:val="Compact"/>
        <w:numPr>
          <w:ilvl w:val="2"/>
          <w:numId w:val="1005"/>
        </w:numPr>
      </w:pPr>
      <w:r>
        <w:t xml:space="preserve">§ 6 ust. 1: „Strony ustalają, że środki wpłacone przez Nabywcę będą gromadzone na mieszkaniowym rachunku powierniczym B. S.A., prowadzonym na rzecz Nabywcy i D. sp. z o.o.a. Dysponowanie środkami nastąpi na podstawie pisemnego żądania D. sp. z o.o.a i jednoczesnego zatwierdzenia przez B. S.A. po przedstawieniu dokumentów potwierdzających realizację kolejnego etapu inwestycji.”</w:t>
      </w:r>
    </w:p>
    <w:p>
      <w:pPr>
        <w:pStyle w:val="Compact"/>
        <w:numPr>
          <w:ilvl w:val="2"/>
          <w:numId w:val="1005"/>
        </w:numPr>
      </w:pPr>
      <w:r>
        <w:t xml:space="preserve">§ 6 ust. 3: „W przypadku ogłoszenia upadłości D. sp. z o.o.a lub wystąpienia przesłanek niewypłacalności, środki zgromadzone na Rachunku Powierniczym pozostają własnością Nabywcy i podlegają zwrotowi proporcjonalnie do wniesionych wpłat, chyba że bank posiada odrębne zabezpieczenie dłużne.”</w:t>
      </w:r>
    </w:p>
    <w:p>
      <w:pPr>
        <w:pStyle w:val="Compact"/>
        <w:numPr>
          <w:ilvl w:val="2"/>
          <w:numId w:val="1005"/>
        </w:numPr>
      </w:pPr>
      <w:r>
        <w:t xml:space="preserve">§ 12 ust. 2: „Wszelkie spory wynikłe z niniejszej umowy będą rozstrzygane przez Sąd Rejonowy w Warszawie, VI Wydział Cywilny.”</w:t>
      </w:r>
    </w:p>
    <w:p>
      <w:pPr>
        <w:pStyle w:val="Compact"/>
        <w:numPr>
          <w:ilvl w:val="0"/>
          <w:numId w:val="1001"/>
        </w:numPr>
      </w:pPr>
      <w:r>
        <w:t xml:space="preserve">Chronologia konfliktu i dotychczasowe działania stron:</w:t>
      </w:r>
    </w:p>
    <w:p>
      <w:pPr>
        <w:pStyle w:val="Compact"/>
        <w:numPr>
          <w:ilvl w:val="1"/>
          <w:numId w:val="1006"/>
        </w:numPr>
      </w:pPr>
      <w:r>
        <w:t xml:space="preserve">A. N.: wpłata 62 000,00 zł (15.01.2024), wielokrotne e-maile do D. sp. z o.o.a z żądaniem potwierdzenia statusu Rachunku Powierniczego (03.03; 10.05; 18.06.2024), reklamacja do B. S.A. (15.08.2024), wezwanie do zwrotu środków przedsądowe wysłane 22.09.2024 r. – bez rezultatu (odmowa banku 05.09.2024 i brak wypłaty od D. sp. z o.o.a).</w:t>
      </w:r>
    </w:p>
    <w:p>
      <w:pPr>
        <w:pStyle w:val="Compact"/>
        <w:numPr>
          <w:ilvl w:val="1"/>
          <w:numId w:val="1006"/>
        </w:numPr>
      </w:pPr>
      <w:r>
        <w:t xml:space="preserve">D. sp. z o.o.: żądanie dodatkowej wpłaty 31 000,00 zł (12.06.2024), komunikaty o restrukturyzacji (01.07.2024), brak udokumentowania realizacji kolejnego etapu inwestycji.</w:t>
      </w:r>
    </w:p>
    <w:p>
      <w:pPr>
        <w:pStyle w:val="Compact"/>
        <w:numPr>
          <w:ilvl w:val="1"/>
          <w:numId w:val="1006"/>
        </w:numPr>
      </w:pPr>
      <w:r>
        <w:t xml:space="preserve">B. S.A.: odmowa zwrotu środków, wskazanie na „zabezpieczenie wierzytelności” wobec D. sp. z o.o.a (pismo 05.09.2024).</w:t>
      </w:r>
    </w:p>
    <w:p>
      <w:pPr>
        <w:pStyle w:val="Compact"/>
        <w:numPr>
          <w:ilvl w:val="0"/>
          <w:numId w:val="1001"/>
        </w:numPr>
      </w:pPr>
      <w:r>
        <w:t xml:space="preserve">Stanowisko strony przeciwnej i podnoszone przez nią argumenty:</w:t>
      </w:r>
    </w:p>
    <w:p>
      <w:pPr>
        <w:pStyle w:val="Compact"/>
        <w:numPr>
          <w:ilvl w:val="1"/>
          <w:numId w:val="1007"/>
        </w:numPr>
      </w:pPr>
      <w:r>
        <w:t xml:space="preserve">D. sp. z o.o. twierdzi, że umowa deweloperska nie stworzyła „zamkniętego rachunku powierniczego” i że bank, na podstawie umów kredytu i zabezpieczeń między B. S.A.iem Srebrny S.A. a deweloperem, ma prawo wstrzymać wypłaty. D. sp. z o.o. podnosi także, że środki na rachunku są współwłasnością stron i mogą być używane do realizacji inwestycji po przedstawieniu przez dewelopera dokumentów transmisyjnych (oświadczenie pełnomocnika z 12.06.2024).</w:t>
      </w:r>
    </w:p>
    <w:p>
      <w:pPr>
        <w:pStyle w:val="Compact"/>
        <w:numPr>
          <w:ilvl w:val="1"/>
          <w:numId w:val="1007"/>
        </w:numPr>
      </w:pPr>
      <w:r>
        <w:t xml:space="preserve">B. S.A. twierdzi, że wobec istnienia wpisu hipoteki przymusowej i cesji wierzytelności ustanowionej na rzecz banku, środki na Rachunku Powierniczym są obciążone i nie mogą być przekazane Nabywcy bez zgody banku (pismo banku 05.09.2024).</w:t>
      </w:r>
    </w:p>
    <w:p>
      <w:pPr>
        <w:pStyle w:val="Compact"/>
        <w:numPr>
          <w:ilvl w:val="0"/>
          <w:numId w:val="1001"/>
        </w:numPr>
      </w:pPr>
      <w:r>
        <w:t xml:space="preserve">Twoja Klientka:</w:t>
      </w:r>
    </w:p>
    <w:p>
      <w:pPr>
        <w:pStyle w:val="Compact"/>
        <w:numPr>
          <w:ilvl w:val="1"/>
          <w:numId w:val="1008"/>
        </w:numPr>
      </w:pPr>
      <w:r>
        <w:t xml:space="preserve">„Twój Klient”/„Twoja Klientka”: A. N. – wnioskuje o odzyskanie wpłaconych 62 000,00 zł oraz o zabezpieczenie roszczenia przed dalszym dysponowaniem środkami na Rachunku Powierniczym przez dewelopera lub bank.</w:t>
      </w:r>
    </w:p>
    <w:bookmarkEnd w:id="11"/>
    <w:bookmarkStart w:id="14" w:name="ii.-dokumenty-i-załączniki-dane-testowe"/>
    <w:p>
      <w:pPr>
        <w:pStyle w:val="Heading2"/>
      </w:pPr>
      <w:r>
        <w:t xml:space="preserve">II. Dokumenty i załączniki (dane testowe)</w:t>
      </w:r>
    </w:p>
    <w:bookmarkStart w:id="12" w:name="załącznik-nr-1-umowa-deweloperska-nr-di"/>
    <w:p>
      <w:pPr>
        <w:pStyle w:val="Heading3"/>
      </w:pPr>
      <w:r>
        <w:t xml:space="preserve">Załącznik nr 1 – Umowa deweloperska nr DI/████/███</w:t>
      </w:r>
    </w:p>
    <w:p>
      <w:pPr>
        <w:pStyle w:val="FirstParagraph"/>
      </w:pPr>
      <w:r>
        <w:t xml:space="preserve">Warszawa, dnia 10 stycznia 2024 r.</w:t>
      </w:r>
    </w:p>
    <w:p>
      <w:pPr>
        <w:pStyle w:val="BodyText"/>
      </w:pPr>
      <w:r>
        <w:t xml:space="preserve">Strony:</w:t>
      </w:r>
      <w:r>
        <w:t xml:space="preserve"> </w:t>
      </w:r>
      <w:r>
        <w:t xml:space="preserve">1. D. sp. z o.o., Warszawa, NIP ███-███-██-██, reprezentowana przez Prezesa Zarządu M. K.;</w:t>
      </w:r>
      <w:r>
        <w:t xml:space="preserve"> </w:t>
      </w:r>
      <w:r>
        <w:t xml:space="preserve">2. A. N., zam. Piaseczno, PESEL ███████████.</w:t>
      </w:r>
    </w:p>
    <w:p>
      <w:pPr>
        <w:pStyle w:val="BodyText"/>
      </w:pPr>
      <w:r>
        <w:t xml:space="preserve">Przedmiot umowy:</w:t>
      </w:r>
      <w:r>
        <w:t xml:space="preserve"> </w:t>
      </w:r>
      <w:r>
        <w:t xml:space="preserve">D. sp. z o.o. zobowiązuje się przenieść na rzecz Nabywcy własność lokalu mieszkalnego nr 24 w budynku przy Warszawa (Inwestycja „Osiedle Zielone II”) – powierzchnia użytkowa 52,40 m2 – za cenę 620 000,00 zł brutto (słownie: sześćset dwadzieścia tysięcy złotych 00/100).</w:t>
      </w:r>
    </w:p>
    <w:p>
      <w:pPr>
        <w:pStyle w:val="BodyText"/>
      </w:pPr>
      <w:r>
        <w:t xml:space="preserve">Postanowienia dotyczące rachunku powierniczego (§ 6):</w:t>
      </w:r>
      <w:r>
        <w:t xml:space="preserve"> </w:t>
      </w:r>
      <w:r>
        <w:t xml:space="preserve">1. Strony uzgadniają, że środki wpłacone przez Nabywcę będą przekazywane wyłącznie na mieszkaniowy rachunek powierniczy prowadzony przez B. S.A. na rzecz Nabywcy i D. sp. z o.o.a (nr rachunku: ██ ████ ████ ████ ████ ████ ████).</w:t>
      </w:r>
      <w:r>
        <w:t xml:space="preserve"> </w:t>
      </w:r>
      <w:r>
        <w:t xml:space="preserve">2. Dysponowanie środkami zgromadzonymi na Rachunku Powierniczym będzie następować wyłącznie na podstawie pisemnego żądania D. sp. z o.o.a wraz z dokumentami potwierdzającymi wykonanie etapu budowy akceptowanymi przez B. S.A.. B. S.A. ma obowiązek wypłacić środki D. sp. z o.o.owi w terminie 14 dni od daty otrzymania kompletnego wniosku i dokumentów.</w:t>
      </w:r>
      <w:r>
        <w:t xml:space="preserve"> </w:t>
      </w:r>
      <w:r>
        <w:t xml:space="preserve">3. W przypadku ogłoszenia upadłości D. sp. z o.o.a lub wystąpienia przesłanek niewypłacalności, środki zgromadzone na Rachunku Powierniczym pozostają własnością Nabywcy i podlegają zwrotowi według udziałów wniesionych wpłat – z zastrzeżeniem praw banku wynikających z odrębnych umów zabezpieczających.</w:t>
      </w:r>
    </w:p>
    <w:p>
      <w:pPr>
        <w:pStyle w:val="BodyText"/>
      </w:pPr>
      <w:r>
        <w:t xml:space="preserve">Postanowienia ogólne (§ 12):</w:t>
      </w:r>
      <w:r>
        <w:t xml:space="preserve"> </w:t>
      </w:r>
      <w:r>
        <w:t xml:space="preserve">1. Wszelkie spory wynikłe z niniejszej umowy będą rozstrzygane przez Sąd Rejonowy dla Warszawy, VI Wydział Cywilny.</w:t>
      </w:r>
      <w:r>
        <w:t xml:space="preserve"> </w:t>
      </w:r>
      <w:r>
        <w:t xml:space="preserve">2. Umowa obowiązuje od dnia podpisania.</w:t>
      </w:r>
    </w:p>
    <w:p>
      <w:pPr>
        <w:pStyle w:val="BodyText"/>
      </w:pPr>
      <w:r>
        <w:t xml:space="preserve">Podpisy:</w:t>
      </w:r>
      <w:r>
        <w:t xml:space="preserve"> </w:t>
      </w:r>
      <w:r>
        <w:t xml:space="preserve">D. sp. z o.o. — /(-) M. K./</w:t>
      </w:r>
      <w:r>
        <w:t xml:space="preserve"> </w:t>
      </w:r>
      <w:r>
        <w:t xml:space="preserve">A. N. — /(-) A. N./</w:t>
      </w:r>
    </w:p>
    <w:bookmarkEnd w:id="12"/>
    <w:bookmarkStart w:id="13" w:name="X121c19d02f772f944600ccff3b80b5e496ea524"/>
    <w:p>
      <w:pPr>
        <w:pStyle w:val="Heading3"/>
      </w:pPr>
      <w:r>
        <w:t xml:space="preserve">Załącznik nr 2 – Pismo B. S.A. do Nabywców inwestycji „Osiedle Zielone II”</w:t>
      </w:r>
    </w:p>
    <w:p>
      <w:pPr>
        <w:pStyle w:val="FirstParagraph"/>
      </w:pPr>
      <w:r>
        <w:t xml:space="preserve">B. S.A.</w:t>
      </w:r>
      <w:r>
        <w:t xml:space="preserve"> </w:t>
      </w:r>
      <w:r>
        <w:t xml:space="preserve">Warszawa</w:t>
      </w:r>
      <w:r>
        <w:t xml:space="preserve"> </w:t>
      </w:r>
      <w:r>
        <w:t xml:space="preserve">Data: 20 maja 2024 r.</w:t>
      </w:r>
    </w:p>
    <w:p>
      <w:pPr>
        <w:pStyle w:val="BodyText"/>
      </w:pPr>
      <w:r>
        <w:t xml:space="preserve">Do: Wszystkich nabywców lokali w inwestycji „Osiedle Zielone II”</w:t>
      </w:r>
    </w:p>
    <w:p>
      <w:pPr>
        <w:pStyle w:val="BodyText"/>
      </w:pPr>
      <w:r>
        <w:t xml:space="preserve">Dotyczy: Zawieszenia dyspozycji wypłat z mieszkaniowego rachunku powierniczego</w:t>
      </w:r>
    </w:p>
    <w:p>
      <w:pPr>
        <w:pStyle w:val="BodyText"/>
      </w:pPr>
      <w:r>
        <w:t xml:space="preserve">Szanowni Państwo,</w:t>
      </w:r>
    </w:p>
    <w:p>
      <w:pPr>
        <w:pStyle w:val="BodyText"/>
      </w:pPr>
      <w:r>
        <w:t xml:space="preserve">Informujemy, iż w dniu 20 maja 2024 r. na mocy postanowień umownych oraz zabezpieczeń ustanowionych w umowie kredytowej nr KRD/████/████ pomiędzy B. S.A.iem Srebrny S.A. a D. sp. z o.o., B. S.A. podjął decyzję o czasowym zawieszeniu realizacji wypłat z mieszkaniowego rachunku powierniczego prowadzonego dla potrzeb inwestycji „Osiedle Zielone II”. Decyzja motywowana jest koniecznością zabezpieczenia wierzytelności B. S.A.u wobec D. sp. z o.o.a i wprowadzeniem dodatkowej kontroli dokumentów potwierdzających wykonanie robót budowlanych.</w:t>
      </w:r>
    </w:p>
    <w:p>
      <w:pPr>
        <w:pStyle w:val="BodyText"/>
      </w:pPr>
      <w:r>
        <w:t xml:space="preserve">Jednocześnie informujemy, iż B. S.A. rozważa dalsze działania w zależności od wyników przeprowadzonego audytu finansowego D. sp. z o.o.a oraz negocjacji restrukturyzacyjnych. B. S.A. uprzejmie prosi o wstrzymanie się od składania indywidualnych dyspozycji dotyczących zwrotu środków do czasu rozstrzygnięcia sprawy przez B. S.A..</w:t>
      </w:r>
    </w:p>
    <w:p>
      <w:pPr>
        <w:pStyle w:val="BodyText"/>
      </w:pPr>
      <w:r>
        <w:t xml:space="preserve">Z poważaniem,</w:t>
      </w:r>
      <w:r>
        <w:t xml:space="preserve"> </w:t>
      </w:r>
      <w:r>
        <w:t xml:space="preserve">B. S.A.</w:t>
      </w:r>
      <w:r>
        <w:t xml:space="preserve"> </w:t>
      </w:r>
      <w:r>
        <w:t xml:space="preserve">/-/ (podpis)</w:t>
      </w:r>
      <w:r>
        <w:t xml:space="preserve"> </w:t>
      </w:r>
      <w:r>
        <w:t xml:space="preserve">Kierownik ds. Rachunków Powierniczych</w:t>
      </w:r>
      <w:r>
        <w:t xml:space="preserve"> </w:t>
      </w:r>
      <w:r>
        <w:t xml:space="preserve">M. B.</w:t>
      </w:r>
    </w:p>
    <w:p>
      <w:pPr>
        <w:pStyle w:val="BodyText"/>
      </w:pPr>
      <w:r>
        <w:t xml:space="preserve">Do wiadomości: D. sp. z o.o. — /(-) M. K./</w:t>
      </w:r>
    </w:p>
    <w:p>
      <w:pPr>
        <w:pStyle w:val="BodyText"/>
      </w:pPr>
      <w:r>
        <w:t xml:space="preserve">Podpisano elektronicznie dnia 20.05.2024 r.</w:t>
      </w:r>
    </w:p>
    <w:p>
      <w:pPr>
        <w:pStyle w:val="BodyText"/>
      </w:pPr>
      <w:r>
        <w:t xml:space="preserve">(na kopii: pieczęć B. S.A.u, adnotacja „wysłane e-mailem do klientów 20.05.2024”)</w:t>
      </w:r>
    </w:p>
    <w:bookmarkEnd w:id="13"/>
    <w:bookmarkEnd w:id="14"/>
    <w:bookmarkStart w:id="15" w:name="X5f55c529dcb1d793b97fef34425a948b67240c7"/>
    <w:p>
      <w:pPr>
        <w:pStyle w:val="Heading2"/>
      </w:pPr>
      <w:r>
        <w:t xml:space="preserve">III. Wytyczne i zadania do analizy prawnej dla prawnika</w:t>
      </w:r>
    </w:p>
    <w:p>
      <w:pPr>
        <w:pStyle w:val="Compact"/>
        <w:numPr>
          <w:ilvl w:val="0"/>
          <w:numId w:val="1009"/>
        </w:numPr>
      </w:pPr>
      <w:r>
        <w:t xml:space="preserve">Ocena prawna skuteczności postanowień umowy deweloperskiej (§ 6 ust. 1–3) w zakresie ustanowienia „mieszkaniowego rachunku powierniczego”: czy postanowienia umowy skutecznie tworzą ochronę wpłat Nabywcy przed wierzycielami dewelopera? Przywołaj ustawę o ochronie praw nabywcy lokalu lub domu jednorodzinnego z dnia 16 września 2011 r., przepisy prawa bankowego oraz Kodeks cywilny (w szczególności zasady swobody umów i ograniczenia skuteczności prawnej postanowień umownych wobec osób trzecich). Wskaż przesłanki uznania rachunku za „mieszkaniowy rachunek powierniczy” w rozumieniu prawa i praktyki bankowej.</w:t>
      </w:r>
    </w:p>
    <w:p>
      <w:pPr>
        <w:pStyle w:val="Compact"/>
        <w:numPr>
          <w:ilvl w:val="0"/>
          <w:numId w:val="1009"/>
        </w:numPr>
      </w:pPr>
      <w:r>
        <w:t xml:space="preserve">Ocena uprawnień B. S.A.: czy bank mógł legalnie zawiesić wypłaty z rachunku powierniczego w sytuacji opisanej w załączniku nr 2? Przeanalizuj umowę kredytową bank–deweloper (na potrzeby analizy załóż istnienie umowy KRD/████/████) oraz zakres wpisów hipotecznych/cesji wierzytelności; zbadaj konflikt prawny między zabezpieczeniem bankowym a prawem Nabywcy do środków zgromadzonych na rachunku powierniczym.</w:t>
      </w:r>
    </w:p>
    <w:p>
      <w:pPr>
        <w:pStyle w:val="Compact"/>
        <w:numPr>
          <w:ilvl w:val="0"/>
          <w:numId w:val="1009"/>
        </w:numPr>
      </w:pPr>
      <w:r>
        <w:t xml:space="preserve">Termin przedawnienia i roszczenia o zwrot środków: jakie są terminy przedawnienia roszczenia A. N. o zwrot 62 000,00 zł? Wskaż konkretne przepisy Kodeksu cywilnego regulujące przedawnienie roszczeń majątkowych oraz moment rozpoczęcia biegu przedawnienia w sytuacji odmowy banku. Oceń ryzyko przedawnienia w horyzoncie dwóch lat od daty wpłaty.</w:t>
      </w:r>
    </w:p>
    <w:p>
      <w:pPr>
        <w:pStyle w:val="Compact"/>
        <w:numPr>
          <w:ilvl w:val="0"/>
          <w:numId w:val="1009"/>
        </w:numPr>
      </w:pPr>
      <w:r>
        <w:t xml:space="preserve">Kwestie dowodowe: jakie dokumenty i dowody będą kluczowe w postępowaniu sądowym (np. oryginał umowy deweloperskiej, potwierdzenie przelewu, korespondencja z bankiem i deweloperem, umowy zabezpieczeń bankowych, wpisy hipoteki w KW)? Oceń wagę i formę dowodową oświadczeń banku o „zabezpieczeniu wierzytelności” (czy bank musi przedstawić umowę kredytową lub tytuł egzekucyjny) oraz możliwości uzyskania dowodów drogą wniosku o udostępnienie dokumentów przedprocesowo.</w:t>
      </w:r>
    </w:p>
    <w:p>
      <w:pPr>
        <w:pStyle w:val="Compact"/>
        <w:numPr>
          <w:ilvl w:val="0"/>
          <w:numId w:val="1009"/>
        </w:numPr>
      </w:pPr>
      <w:r>
        <w:t xml:space="preserve">Wyliczenie kwotowe roszczenia i koszty: sporządź roboczą kalkulację roszczenia A. N. na dzień 30.09.2024 r., uwzględniając zwrot wpłaty 62 000,00 zł, ewentualne odsetki ustawowe za opóźnienie od dnia 15.01.2024 r. do dnia zapłaty oraz koszty procesu (opłata sądowa od pozwu, koszty zastępstwa procesowego). Wskaż metodologię obliczeń oraz podstawę prawną naliczania odsetek (Kodeks cywilny i ustawa o terminach zapłaty).</w:t>
      </w:r>
    </w:p>
    <w:p>
      <w:pPr>
        <w:pStyle w:val="Compact"/>
        <w:numPr>
          <w:ilvl w:val="0"/>
          <w:numId w:val="1009"/>
        </w:numPr>
      </w:pPr>
      <w:r>
        <w:t xml:space="preserve">Ryzyka procesowe i strategiczne: zidentyfikuj główne ryzyka procesowe i pozaprocesowe (np. ryzyko ogłoszenia upadłości dewelopera, roszczenia innych nabywców, działanie komornicze/hipoteczne banku). Zaproponuj możliwe strategie: droga sądowa (pozew o zapłatę + wniosek o zabezpieczenie), skarga do organów nadzoru bankowego / UOKiK (jeśli naruszenie zbiorowych praw nabywców), negocjacje i mediacje. Wskaż przesłanki i koszty wniesienia wniosku o zabezpieczenie roszczenia (art. 730 i 7301 Kodeksu postępowania cywilnego) oraz ryzyko odmowy zabezpieczenia.</w:t>
      </w:r>
    </w:p>
    <w:p>
      <w:pPr>
        <w:pStyle w:val="FirstParagraph"/>
      </w:pPr>
      <w:r>
        <w:t xml:space="preserve">(Uwaga: w analizie odwołaj się do konkretnych przepisów: ustawa z dnia 16 września 2011 r. o ochronie praw nabywcy lokalu lub domu jednorodzinnego; ustawa z dnia 29 sierpnia 1997 r. – Prawo bankowe; Kodeks cywilny z dnia 23 kwietnia 1964 r.; Kodeks postępowania cywilnego.)</w:t>
      </w:r>
    </w:p>
    <w:bookmarkEnd w:id="15"/>
    <w:bookmarkStart w:id="16" w:name="X99ad22c303571be48bb8b45f682f47b2448a1a3"/>
    <w:p>
      <w:pPr>
        <w:pStyle w:val="Heading2"/>
      </w:pPr>
      <w:r>
        <w:t xml:space="preserve">IV. Wymagane dokumenty i pisma do przygotowania</w:t>
      </w:r>
    </w:p>
    <w:p>
      <w:pPr>
        <w:pStyle w:val="FirstParagraph"/>
      </w:pPr>
      <w:r>
        <w:t xml:space="preserve">Proszę przygotować następujące dokumenty/pisma procesowe i pozaprocesowe:</w:t>
      </w:r>
      <w:r>
        <w:t xml:space="preserve"> </w:t>
      </w:r>
      <w:r>
        <w:t xml:space="preserve">1. Opinia prawna dla Klientki (ok. 5–8 stron) dotycząca uprawnień Pani A. N. do zwrotu środków zgromadzonych na mieszkaniowym rachunku powierniczym, wskazująca możliwe drogi ochrony prawnej i szacunkową kalkulację roszczenia (z odsetkami).</w:t>
      </w:r>
      <w:r>
        <w:t xml:space="preserve"> </w:t>
      </w:r>
      <w:r>
        <w:t xml:space="preserve">2. Wezwanie przedsądowe do B. S.A. (i równoległe do D. sp. z o.o.) o wydanie środków/natychmiastowy zwrot 62 000,00 zł z pouczeniem o skierowaniu sprawy na drogę sądową w razie braku wypłaty w terminie 14 dni; w wezwaniu należy zastrzec wniosek o zabezpieczenie i wskazać podstawy prawne.</w:t>
      </w:r>
      <w:r>
        <w:t xml:space="preserve"> </w:t>
      </w:r>
      <w:r>
        <w:t xml:space="preserve">3. Pozew o zapłatę (Sąd Rejonowy dla Warszawy, VI Wydział Cywilny) o zwrot wpłaty 62 000,00 zł + odsetki ustawowe od dnia 15.01.2024 r. do dnia zapłaty; wraz z wnioskiem o zabezpieczenie roszczenia poprzez zakaz dysponowania środkami na Rachunku Powierniczym do czasu rozstrzygnięcia sprawy (wniosek o zabezpieczenie na podstawie art. 730 i 7301 k.p.c.).</w:t>
      </w:r>
      <w:r>
        <w:t xml:space="preserve"> </w:t>
      </w:r>
      <w:r>
        <w:t xml:space="preserve">4. Wniosek o ujawnienie dokumentów / dowodów (np. kopia umowy kredytowej KRD/████/████, umów zabezpieczeń, cesji wierzytelności) skierowany do B. S.A. w celu ustalenia podstaw prawnych zawieszenia wypłat oraz zakresu praw banku względem środków powierniczych.</w:t>
      </w:r>
    </w:p>
    <w:p>
      <w:pPr>
        <w:pStyle w:val="BodyText"/>
      </w:pPr>
      <w:r>
        <w:t xml:space="preserve">(Każde z pism ma uwzględniać specyfikę sprawy, kwestie dowodowe oraz żądania tymczasowego zabezpieczenia. Nie sporządzaj w tej fazie treści pism — zadanie polega na ich przygotowaniu po analizie).</w:t>
      </w:r>
    </w:p>
    <w:p>
      <w:r>
        <w:pict>
          <v:rect style="width:0;height:1.5pt" o:hralign="center" o:hrstd="t" o:hr="t"/>
        </w:pic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2026-10-05T19:14:17Z</dcterms:created>
  <dcterms:modified xsi:type="dcterms:W3CDTF">2026-10-05T19:14:17Z</dcterms:modified>
</cp:coreProperties>
</file>

<file path=docProps/custom.xml><?xml version="1.0" encoding="utf-8"?>
<Properties xmlns="http://schemas.openxmlformats.org/officeDocument/2006/custom-properties" xmlns:vt="http://schemas.openxmlformats.org/officeDocument/2006/docPropsVTypes"/>
</file>