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sprawa-059-rozwiązanie-casebox"/>
    <w:p>
      <w:pPr>
        <w:pStyle w:val="Heading1"/>
      </w:pPr>
      <w:r>
        <w:t xml:space="preserve">Sprawa 059 — rozwiązanie CaseBox</w:t>
      </w:r>
    </w:p>
    <w:bookmarkStart w:id="9" w:name="część-ii.-rozwiązanie-case-project-api"/>
    <w:p>
      <w:pPr>
        <w:pStyle w:val="Heading2"/>
      </w:pPr>
      <w:r>
        <w:t xml:space="preserve">CZĘŚĆ II. ROZWIĄZANIE (Case Project API)</w:t>
      </w:r>
    </w:p>
    <w:p>
      <w:pPr>
        <w:pStyle w:val="FirstParagraph"/>
      </w:pPr>
      <w:r>
        <w:t xml:space="preserve">Szanowny Kliencie,</w:t>
      </w:r>
    </w:p>
    <w:p>
      <w:pPr>
        <w:pStyle w:val="BodyText"/>
      </w:pPr>
      <w:r>
        <w:t xml:space="preserve">Przedstawiamy kompleksową opinię prawną w sprawie sporu z Deweloperem „NOVUM Inwestycje” Sp. z o.o., uwzględniającą kwalifikację prawną, analizę roszczeń, kwestie dowodowe, wyliczenia oraz strategię procesową.</w:t>
      </w:r>
    </w:p>
    <w:bookmarkEnd w:id="9"/>
    <w:bookmarkStart w:id="10" w:name="podsumowanie-sprawy"/>
    <w:p>
      <w:pPr>
        <w:pStyle w:val="Heading2"/>
      </w:pPr>
      <w:r>
        <w:t xml:space="preserve">Podsumowanie sprawy</w:t>
      </w:r>
    </w:p>
    <w:p>
      <w:pPr>
        <w:pStyle w:val="FirstParagraph"/>
      </w:pPr>
      <w:r>
        <w:t xml:space="preserve">Pan M. K. (Nabywca), zawarł z Deweloperem „NOVUM Inwestycje” Sp. z o.o. umowę deweloperską DEV/████/01 z dnia 10 stycznia 2024 r. w celu nabycia lokalu mieszkalnego nr M-14 i miejsca parkingowego P-2 przy Warszawa [Źródło 1]. Cena nieruchomości wynosi 548 000,00 PLN, z czego Klient wpłacił dotychczas 374 000,00 PLN [Źródło 1]. Termin przekazania lokalu ustalono na 30 września 2024 r. [Źródło 1]. Deweloper poinformował o opóźnieniu w przekazaniu lokalu, najpierw do 31 grudnia 2024 r., a następnie o nieokreślonym terminie, powołując się na opóźnienia dostaw i zmiany projektu kanalizacji [Źródło 1]. Deweloper odmawia zapłaty kar umownych, powołując się na klauzule wyłączające odpowiedzialność z §9 ust. 4 umowy, i żąda podpisania aneksu, w którym Klient miałby zaakceptować przesunięcie terminu, zrzec się roszczeń z tytułu kar umownych oraz przyjąć udział w dodatkowych kosztach w wysokości 20 000,00 PLN [Źródło 1]. Klient odmawia podpisania aneksu i domaga się zapłaty kar umownych, możliwości odstąpienia od umowy ze zwrotem wpłaconych środków oraz odszkodowania za koszty najmu mieszkania zastępczego, które dotychczas wyniosły 31 200,00 PLN [Źródło 1]. Istnieje również podejrzenie, że klauzule z §9 ust. 4, §12 i §14 umowy mogą być abuzywne [Źródło 1].</w:t>
      </w:r>
    </w:p>
    <w:bookmarkEnd w:id="10"/>
    <w:bookmarkStart w:id="11" w:name="kluczowe-dane"/>
    <w:p>
      <w:pPr>
        <w:pStyle w:val="Heading2"/>
      </w:pPr>
      <w:r>
        <w:t xml:space="preserve">Kluczowe dane</w:t>
      </w:r>
    </w:p>
    <w:p>
      <w:pPr>
        <w:pStyle w:val="Compact"/>
        <w:numPr>
          <w:ilvl w:val="0"/>
          <w:numId w:val="1001"/>
        </w:numPr>
      </w:pPr>
      <w:r>
        <w:t xml:space="preserve">Nabywca/Klient: Pan M. K. (PESEL ███████████) [Źródło 1].</w:t>
      </w:r>
    </w:p>
    <w:p>
      <w:pPr>
        <w:pStyle w:val="Compact"/>
        <w:numPr>
          <w:ilvl w:val="0"/>
          <w:numId w:val="1001"/>
        </w:numPr>
      </w:pPr>
      <w:r>
        <w:t xml:space="preserve">Deweloper/Strona przeciwna: „NOVUM Inwestycje” Sp. z o.o. (KRS ██████████) [Źródło 1].</w:t>
      </w:r>
    </w:p>
    <w:p>
      <w:pPr>
        <w:pStyle w:val="Compact"/>
        <w:numPr>
          <w:ilvl w:val="0"/>
          <w:numId w:val="1001"/>
        </w:numPr>
      </w:pPr>
      <w:r>
        <w:t xml:space="preserve">Generalny wykonawca: P. B. S. sp. z o.o. [Źródło 1].</w:t>
      </w:r>
    </w:p>
    <w:p>
      <w:pPr>
        <w:pStyle w:val="Compact"/>
        <w:numPr>
          <w:ilvl w:val="0"/>
          <w:numId w:val="1001"/>
        </w:numPr>
      </w:pPr>
      <w:r>
        <w:t xml:space="preserve">Data zawarcia umowy deweloperskiej: 10 stycznia 2024 r. [Źródło 1].</w:t>
      </w:r>
    </w:p>
    <w:p>
      <w:pPr>
        <w:pStyle w:val="Compact"/>
        <w:numPr>
          <w:ilvl w:val="0"/>
          <w:numId w:val="1001"/>
        </w:numPr>
      </w:pPr>
      <w:r>
        <w:t xml:space="preserve">Sygnatura umowy: DEV/████/01 [Źród* Przedmiot umowy: lokal mieszkalny nr M-14 (48,20 m2) i miejsce parkingowe P-2 przy Warszawa [Źródło 1].</w:t>
      </w:r>
    </w:p>
    <w:p>
      <w:pPr>
        <w:pStyle w:val="Compact"/>
        <w:numPr>
          <w:ilvl w:val="0"/>
          <w:numId w:val="1001"/>
        </w:numPr>
      </w:pPr>
      <w:r>
        <w:t xml:space="preserve">Cena nieruchomości: 548 000,00 PLN [Źródło 1].</w:t>
      </w:r>
    </w:p>
    <w:p>
      <w:pPr>
        <w:pStyle w:val="Compact"/>
        <w:numPr>
          <w:ilvl w:val="0"/>
          <w:numId w:val="1001"/>
        </w:numPr>
      </w:pPr>
      <w:r>
        <w:t xml:space="preserve">Wpłacona kwota przez Nabywcę: 374 000,00 PLN [Źródło 1].</w:t>
      </w:r>
    </w:p>
    <w:p>
      <w:pPr>
        <w:pStyle w:val="Compact"/>
        <w:numPr>
          <w:ilvl w:val="0"/>
          <w:numId w:val="1001"/>
        </w:numPr>
      </w:pPr>
      <w:r>
        <w:t xml:space="preserve">Pierwotny termin przekazania lokalu: 30 września 2024 r. [Źródło 1].</w:t>
      </w:r>
    </w:p>
    <w:p>
      <w:pPr>
        <w:pStyle w:val="Compact"/>
        <w:numPr>
          <w:ilvl w:val="0"/>
          <w:numId w:val="1001"/>
        </w:numPr>
      </w:pPr>
      <w:r>
        <w:t xml:space="preserve">Pierwsze awizo o opóźnieniu (nowy termin): 25 września 2024 r., informacja o opóźnieniu do 31 grudnia 2024 r. [Źródło 1].</w:t>
      </w:r>
    </w:p>
    <w:p>
      <w:pPr>
        <w:pStyle w:val="Compact"/>
        <w:numPr>
          <w:ilvl w:val="0"/>
          <w:numId w:val="1001"/>
        </w:numPr>
      </w:pPr>
      <w:r>
        <w:t xml:space="preserve">Data wezwania Dewelopera do zapłaty kar umownych: 10 października 2024 r. [Źródło 1].</w:t>
      </w:r>
    </w:p>
    <w:p>
      <w:pPr>
        <w:pStyle w:val="Compact"/>
        <w:numPr>
          <w:ilvl w:val="0"/>
          <w:numId w:val="1001"/>
        </w:numPr>
      </w:pPr>
      <w:r>
        <w:t xml:space="preserve">Data odmowy Dewelopera zapłaty kar i żądanie aneksu: 5 listopada 2024 r. [Źródło 1].</w:t>
      </w:r>
    </w:p>
    <w:p>
      <w:pPr>
        <w:pStyle w:val="Compact"/>
        <w:numPr>
          <w:ilvl w:val="0"/>
          <w:numId w:val="1001"/>
        </w:numPr>
      </w:pPr>
      <w:r>
        <w:t xml:space="preserve">Drugie awizo o opóźnieniu (nowy termin): 31 grudnia 2024 r., informacja o nieokreślonym terminie przekazania lokalu [Źródło 1].</w:t>
      </w:r>
    </w:p>
    <w:p>
      <w:pPr>
        <w:pStyle w:val="Compact"/>
        <w:numPr>
          <w:ilvl w:val="0"/>
          <w:numId w:val="1001"/>
        </w:numPr>
      </w:pPr>
      <w:r>
        <w:t xml:space="preserve">Wysokość kary umownej (umownej): 0,1% wartości umowy za każdy dzień opóźnienia [Źródło 1].</w:t>
      </w:r>
    </w:p>
    <w:p>
      <w:pPr>
        <w:pStyle w:val="Compact"/>
        <w:numPr>
          <w:ilvl w:val="0"/>
          <w:numId w:val="1001"/>
        </w:numPr>
      </w:pPr>
      <w:r>
        <w:t xml:space="preserve">Kwota dodatkowych kosztów, których przyjęcia żąda Deweloper: 20 000,00 PLN [Źródło 1].</w:t>
      </w:r>
    </w:p>
    <w:p>
      <w:pPr>
        <w:pStyle w:val="Compact"/>
        <w:numPr>
          <w:ilvl w:val="0"/>
          <w:numId w:val="1001"/>
        </w:numPr>
      </w:pPr>
      <w:r>
        <w:t xml:space="preserve">Dotychczasowe straty Nabywcy z tytułu najmu mieszkania zastępczego: 31 200,00 PLN [Źródło 1].</w:t>
      </w:r>
    </w:p>
    <w:bookmarkEnd w:id="11"/>
    <w:bookmarkStart w:id="12" w:name="żądania-i-twierdzenia-stron"/>
    <w:p>
      <w:pPr>
        <w:pStyle w:val="Heading2"/>
      </w:pPr>
      <w:r>
        <w:t xml:space="preserve">Żądania i twierdzenia stron</w:t>
      </w:r>
    </w:p>
    <w:p>
      <w:pPr>
        <w:pStyle w:val="FirstParagraph"/>
      </w:pPr>
      <w:r>
        <w:rPr>
          <w:b/>
          <w:bCs/>
        </w:rPr>
        <w:t xml:space="preserve">Żądania i twierdzenia Klienta (Nabywcy):</w:t>
      </w:r>
      <w:r>
        <w:t xml:space="preserve"> </w:t>
      </w:r>
      <w:r>
        <w:t xml:space="preserve">* Klient odmawia podpisania aneksu do umowy [Źródło 1].</w:t>
      </w:r>
      <w:r>
        <w:t xml:space="preserve"> </w:t>
      </w:r>
      <w:r>
        <w:t xml:space="preserve">* Domaga się zapłaty kar umownych od 1 października 2024 r. do dnia faktycznego przekazania lokalu [Źródło 1].</w:t>
      </w:r>
      <w:r>
        <w:t xml:space="preserve"> </w:t>
      </w:r>
      <w:r>
        <w:t xml:space="preserve">* Żąda możliwości odstąpienia od umowy i zwrotu wpłaconych środków w wysokości 374 000,00 PLN [Źródło 1].</w:t>
      </w:r>
      <w:r>
        <w:t xml:space="preserve"> </w:t>
      </w:r>
      <w:r>
        <w:t xml:space="preserve">* Żąda odszkodowania za straty wynikające z najmu mieszkania zastępczego w kwocie dotychczasowej 31 200,00 PLN [Źródło 1].</w:t>
      </w:r>
      <w:r>
        <w:t xml:space="preserve"> </w:t>
      </w:r>
      <w:r>
        <w:t xml:space="preserve">* Podejrzewa, że klauzule umowne zawarte w §9 ust. 4 (wyłączenie odpowiedzialności Dewelopera za opóźnienia), §12 (prawo Dewelopera do jednostronnego wprowadzania zmian i obciążania Nabywcy kosztami) oraz §14 (obowiązek Nabywcy pokrycia kosztów przyłączeń mediów i wpisów do KW) mogą być abuzywne i niezgodne z prawem konsumenckim/deweloperskim [Źródło 1].</w:t>
      </w:r>
    </w:p>
    <w:p>
      <w:pPr>
        <w:pStyle w:val="BodyText"/>
      </w:pPr>
      <w:r>
        <w:rPr>
          <w:b/>
          <w:bCs/>
        </w:rPr>
        <w:t xml:space="preserve">Twierdzenia i stanowisko Dewelopera:</w:t>
      </w:r>
      <w:r>
        <w:t xml:space="preserve"> </w:t>
      </w:r>
      <w:r>
        <w:t xml:space="preserve">* Deweloper informował o opóźnieniu w przekazaniu lokalu (najpierw do 31.12.2024 r., następnie termin nieokreślony) [Źródło 1].</w:t>
      </w:r>
      <w:r>
        <w:t xml:space="preserve"> </w:t>
      </w:r>
      <w:r>
        <w:t xml:space="preserve">* Jako przyczyny opóźnień wskazywał opóźnienia dostaw i zmianę projektu kanalizacji [Źródło 1].</w:t>
      </w:r>
      <w:r>
        <w:t xml:space="preserve"> </w:t>
      </w:r>
      <w:r>
        <w:t xml:space="preserve">* Odmawia zapłaty kar umownych, powołując się na wyłączenia odpowiedzialności z §9 ust. 4 umowy [Źródło 1].</w:t>
      </w:r>
      <w:r>
        <w:t xml:space="preserve"> </w:t>
      </w:r>
      <w:r>
        <w:t xml:space="preserve">* Żąda podpisania aneksu do umowy, w którym Nabywca miałby zaakceptować przesunięcie terminu, zrzec się roszczeń z tytułu kar umownych oraz przyjąć udział w dodatkowych kosztach (20 000,00 PLN) [Źródło 1].</w:t>
      </w:r>
    </w:p>
    <w:bookmarkEnd w:id="12"/>
    <w:bookmarkStart w:id="20" w:name="ocena-prawna"/>
    <w:p>
      <w:pPr>
        <w:pStyle w:val="Heading2"/>
      </w:pPr>
      <w:r>
        <w:t xml:space="preserve">Ocena prawna</w:t>
      </w:r>
    </w:p>
    <w:bookmarkStart w:id="13" w:name="kwalifikacja-prawna-stanu-faktycznego"/>
    <w:p>
      <w:pPr>
        <w:pStyle w:val="Heading3"/>
      </w:pPr>
      <w:r>
        <w:t xml:space="preserve">1. Kwalifikacja prawna stanu faktycznego</w:t>
      </w:r>
    </w:p>
    <w:p>
      <w:pPr>
        <w:pStyle w:val="FirstParagraph"/>
      </w:pPr>
      <w:r>
        <w:t xml:space="preserve">Stan faktyczny dotyczy sporu wynikającego z umowy deweloperskiej zawartej między konsumentem (Pan M. K.) a przedsiębiorcą (N. I. sp. z o.o.). Jest to zatem stosunek prawny, do którego zastosowanie mają przepisy Kodeksu cywilnego, w szczególności dotyczące umów wzajemnych, niewykonania lub nienależytego wykonania zobowiązań, kar umownych, a także przepisy dotyczące ochrony konsumentów oraz ustawy o ochronie praw nabywcy lokalu mieszkalnego lub domu jednorodzinnego i Deweloperskim Funduszu Gwarancyjnym.</w:t>
      </w:r>
    </w:p>
    <w:bookmarkEnd w:id="13"/>
    <w:bookmarkStart w:id="14" w:name="Xfb14db3cab2af5db11c196e441f8416d3dad3d0"/>
    <w:p>
      <w:pPr>
        <w:pStyle w:val="Heading3"/>
      </w:pPr>
      <w:r>
        <w:t xml:space="preserve">2. Ocena ważności/skuteczności kluczowych postanowień umowy i czynności stron</w:t>
      </w:r>
    </w:p>
    <w:p>
      <w:pPr>
        <w:pStyle w:val="FirstParagraph"/>
      </w:pPr>
      <w:r>
        <w:rPr>
          <w:b/>
          <w:bCs/>
        </w:rPr>
        <w:t xml:space="preserve">a) Klauzula z §9 ust. 4 (wyłączenie odpowiedzialności Dewelopera za opóźnienia):</w:t>
      </w:r>
      <w:r>
        <w:t xml:space="preserve"> </w:t>
      </w:r>
      <w:r>
        <w:t xml:space="preserve">Klauzula ta, wyłączająca odpowiedzialność Dewelopera za opóźnienia wynikające z siły wyższej, zmian prawa, niedostępności materiałów, decyzji organów, orzeczeń sądowych, działań podwykonawców oraz zawinienia nabywcy [Źródło 1], budzi poważne wątpliwości co do swojej ważności i skuteczności, zwłaszcza w kontekście ochrony konsumentów.</w:t>
      </w:r>
    </w:p>
    <w:p>
      <w:pPr>
        <w:pStyle w:val="Compact"/>
        <w:numPr>
          <w:ilvl w:val="0"/>
          <w:numId w:val="1002"/>
        </w:numPr>
      </w:pPr>
      <w:r>
        <w:rPr>
          <w:b/>
          <w:bCs/>
        </w:rPr>
        <w:t xml:space="preserve">Siła wyższa, zmiany prawa, decyzje organów, orzeczenia sądowe:</w:t>
      </w:r>
      <w:r>
        <w:t xml:space="preserve"> </w:t>
      </w:r>
      <w:r>
        <w:t xml:space="preserve">Te okoliczności mogą co do zasady stanowić podstawę do wyłączenia odpowiedzialności kontraktowej na zasadach ogólnych (art. 471 Kodeksu cywilnego), o ile mają charakter zewnętrzny, są nieprzewidywalne i niemożliwe do zapobieżenia. Jednakże, Deweloper jako profesjonalista powinien przewidzieć pewne ryzyka, w tym ryzyko zmian przepisów czy decyzji administracyjnych, które mogą wpływać na harmonogram. Wyłączenie odpowiedzialności za opóźnienia wynikające z niedostępności materiałów lub działań podwykonawców jest szczególnie problematyczne [Źródło 1].</w:t>
      </w:r>
    </w:p>
    <w:p>
      <w:pPr>
        <w:pStyle w:val="Compact"/>
        <w:numPr>
          <w:ilvl w:val="0"/>
          <w:numId w:val="1002"/>
        </w:numPr>
      </w:pPr>
      <w:r>
        <w:rPr>
          <w:b/>
          <w:bCs/>
        </w:rPr>
        <w:t xml:space="preserve">Niedostępność materiałów, działania podwykonawców:</w:t>
      </w:r>
      <w:r>
        <w:t xml:space="preserve"> </w:t>
      </w:r>
      <w:r>
        <w:t xml:space="preserve">Deweloper, jako profesjonalista, jest odpowiedzialny za organizację i przebieg procesu budowlanego, w tym za terminowe dostawy materiałów i działania swoich podwykonawców (np. P. B. S. sp. z o.o. [Źródło 1]). Klauzula, która przerzuca to ryzyko na Nabywcę-konsumenta, może zostać uznana za niedozwoloną klauzulę umowną (abuzywną) w rozumieniu art. 385¹ § 1 Kodeksu cywilnego. Postanowienia umowne, które kształtują prawa i obowiązki konsumenta w sposób sprzeczny z dobrymi obyczajami, rażąco naruszając jego interesy, nie wiążą konsumenta. Tego typu klauzule często pojawiają się w rejestrach klauzul niedozwolonych. Przerzucanie ryzyka za własną działalność gospodarczą na konsumenta jest rażącym naruszeniem jego interesów [Źródło 9].</w:t>
      </w:r>
    </w:p>
    <w:p>
      <w:pPr>
        <w:pStyle w:val="Compact"/>
        <w:numPr>
          <w:ilvl w:val="0"/>
          <w:numId w:val="1002"/>
        </w:numPr>
      </w:pPr>
      <w:r>
        <w:rPr>
          <w:b/>
          <w:bCs/>
        </w:rPr>
        <w:t xml:space="preserve">Zawinienie nabywcy:</w:t>
      </w:r>
      <w:r>
        <w:t xml:space="preserve"> </w:t>
      </w:r>
      <w:r>
        <w:t xml:space="preserve">Wyłączenie odpowiedzialności w przypadku zawinienia nabywcy jest zasadniczo dopuszczalne, o ile zawinienie to rzeczywiście wystąpiło i było przyczyną opóźnienia.</w:t>
      </w:r>
    </w:p>
    <w:p>
      <w:pPr>
        <w:pStyle w:val="Compact"/>
        <w:numPr>
          <w:ilvl w:val="0"/>
          <w:numId w:val="1002"/>
        </w:numPr>
      </w:pPr>
      <w:r>
        <w:rPr>
          <w:b/>
          <w:bCs/>
        </w:rPr>
        <w:t xml:space="preserve">Art. 385³ pkt 2 Kodeksu cywilnego</w:t>
      </w:r>
      <w:r>
        <w:t xml:space="preserve"> </w:t>
      </w:r>
      <w:r>
        <w:t xml:space="preserve">stanowi, że w razie wątpliwości uważa się, że niedozwolonymi postanowieniami umownymi są te, które w szczególności wyłączają lub ograniczają odpowiedzialność względem konsumenta za szkody na osobie. Choć niniejszy przypadek dotyczy szkód majątkowych, ogólna zasada interpretacji klauzul na niekorzyść przedsiębiorcy i na korzyść konsumenta jest istotna.</w:t>
      </w:r>
    </w:p>
    <w:p>
      <w:pPr>
        <w:pStyle w:val="Compact"/>
        <w:numPr>
          <w:ilvl w:val="0"/>
          <w:numId w:val="1002"/>
        </w:numPr>
      </w:pPr>
      <w:r>
        <w:rPr>
          <w:b/>
          <w:bCs/>
        </w:rPr>
        <w:t xml:space="preserve">Orzecznictwo sądów powszechnych</w:t>
      </w:r>
      <w:r>
        <w:t xml:space="preserve"> </w:t>
      </w:r>
      <w:r>
        <w:t xml:space="preserve">konsekwentnie wskazuje, że domniemanie prawdziwości twierdzeń powoda w wyroku zaocznym jest wzruszalne, zwłaszcza gdy powód nie przedłożył wystarczających dowodów na poparcie swoich twierdzeń [Źródło 1, 4, 6, 16]. Sąd Rejonowy w Olsztynie w wyroku z dnia 13 listopada 2017 r. (I C ████/██ upr.) oddalił powództwo funduszu sekurytyzacyjnego, ponieważ nie przedstawił on wiarygodnych dowodów na istnienie i wysokość wierzytelności, a twierdzenia pozwu w konfrontacji z załączonymi dokumentami budziły uzasadnione wątpliwości [Źródło 1]. Podobnie w sprawach dotyczących cesji wierzytelności, warunkiem uzyskania należności przez nabywcę długu jest udowodnienie, że takie prawo przysługiwało pierwotnemu wierzycielowi [Źródło 4, 6, 16]. Zastosowanie tych zasad do obecnej sprawy oznacza, że Deweloper będzie musiał udowodnić faktyczne zaistnienie okoliczności wyłączających jego odpowiedzialność, a nie jedynie na nie się powołać.</w:t>
      </w:r>
    </w:p>
    <w:p>
      <w:pPr>
        <w:pStyle w:val="FirstParagraph"/>
      </w:pPr>
      <w:r>
        <w:rPr>
          <w:b/>
          <w:bCs/>
        </w:rPr>
        <w:t xml:space="preserve">b) Klauzula z §12 (jednostronne zmiany w projekcie i obciążanie Nabywcy kosztami):</w:t>
      </w:r>
      <w:r>
        <w:t xml:space="preserve"> </w:t>
      </w:r>
      <w:r>
        <w:t xml:space="preserve">Postanowienie to, dające Deweloperowi prawo do jednostronnego wprowadzania zmian w projekcie i wykończeniu, obciążając Nabywcę dodatkowymi kosztami, przy jednoczesnym braku wpływu braku zgody Nabywcy na wstrzymanie zmian [Źródło 1], również ma charakter klauzuli abuzywnej.</w:t>
      </w:r>
    </w:p>
    <w:p>
      <w:pPr>
        <w:pStyle w:val="Compact"/>
        <w:numPr>
          <w:ilvl w:val="0"/>
          <w:numId w:val="1003"/>
        </w:numPr>
      </w:pPr>
      <w:r>
        <w:t xml:space="preserve">Art. 385³ pkt 10 Kodeksu cywilnego wskazuje, że w razie wątpliwości uważa się, że niedozwolonymi postanowieniami umownymi są te, które w szczególności uprawniają kontrahenta konsumenta do jednostronnej zmiany umowy bez ważnej przyczyny wskazanej w tej umowie. Jednostronne wprowadzanie zmian w projekcie i wykończeniu, zwłaszcza z jednoczesnym obciążaniem Nabywcy dodatkowymi kosztami, bez realnej możliwości wyrażenia sprzeciwu przez konsumenta, rażąco narusza jego interesy i może być uznane za niewiążące.</w:t>
      </w:r>
    </w:p>
    <w:p>
      <w:pPr>
        <w:pStyle w:val="FirstParagraph"/>
      </w:pPr>
      <w:r>
        <w:rPr>
          <w:b/>
          <w:bCs/>
        </w:rPr>
        <w:t xml:space="preserve">c) Klauzula z §14 (koszty dodatkowe):</w:t>
      </w:r>
      <w:r>
        <w:t xml:space="preserve"> </w:t>
      </w:r>
      <w:r>
        <w:t xml:space="preserve">Zapis obligujący Nabywcę do pokrycia kosztów przyłączeń mediów i wpisów do KW, jeśli wynikają z rozwiązań projektowych lub decyzji administracyjnych [Źródło 1], może być oceniany indywidualnie.</w:t>
      </w:r>
    </w:p>
    <w:p>
      <w:pPr>
        <w:pStyle w:val="Compact"/>
        <w:numPr>
          <w:ilvl w:val="0"/>
          <w:numId w:val="1004"/>
        </w:numPr>
      </w:pPr>
      <w:r>
        <w:t xml:space="preserve">Koszty wpisu do KW są co do zasady obciążeniem Nabywcy.</w:t>
      </w:r>
    </w:p>
    <w:p>
      <w:pPr>
        <w:pStyle w:val="Compact"/>
        <w:numPr>
          <w:ilvl w:val="0"/>
          <w:numId w:val="1004"/>
        </w:numPr>
      </w:pPr>
      <w:r>
        <w:t xml:space="preserve">Koszty przyłączeń mediów, jeśli wynikają z rozwiązań projektowych, które są efektem decyzji Dewelopera, mogą w pewnych okolicznościach zostać uznane za część ceny nieruchomości i nie powinny być dodatkowo przerzucane na Nabywcę. Jeżeli koszty te wynikają z typowych rozwiązań projektowych, nie są wyjątkowe i zostały wcześniej zakomunikowane w sposób jednoznaczny, ich przeniesienie może być dopuszczalne. Jednakże, jeśli są to koszty wynikające z błędów projektowych Dewelopera lub z jego decyzji, które zwiększają pierwotnie ustalone obciążenie Nabywcy, mogą one być kwestionowane na zasadach analogicznych do klauzuli z §12.</w:t>
      </w:r>
    </w:p>
    <w:p>
      <w:pPr>
        <w:pStyle w:val="Compact"/>
        <w:numPr>
          <w:ilvl w:val="0"/>
          <w:numId w:val="1004"/>
        </w:numPr>
      </w:pPr>
      <w:r>
        <w:t xml:space="preserve">W orzecznictwie sądów administracyjnych, np. w sprawach o przyznanie prawa pomocy, podkreśla się, że to na stronie spoczywa ciężar wykazania zasadności wniosku, w tym należytego udokumentowania swojej sytuacji materialnej [Źródło 3, 5, 8]. W konsekwencji to Deweloper będzie musiał wykazać, że żądanie dodatkowych 20 000,00 PLN [Źródło 1] ma uzasadnione podstawy i nie stanowi rażącego naruszenia interesów konsumenta.</w:t>
      </w:r>
    </w:p>
    <w:p>
      <w:pPr>
        <w:pStyle w:val="FirstParagraph"/>
      </w:pPr>
      <w:r>
        <w:rPr>
          <w:b/>
          <w:bCs/>
        </w:rPr>
        <w:t xml:space="preserve">d) Czynności stron:</w:t>
      </w:r>
      <w:r>
        <w:t xml:space="preserve"> </w:t>
      </w:r>
      <w:r>
        <w:t xml:space="preserve">*</w:t>
      </w:r>
      <w:r>
        <w:t xml:space="preserve"> </w:t>
      </w:r>
      <w:r>
        <w:rPr>
          <w:b/>
          <w:bCs/>
        </w:rPr>
        <w:t xml:space="preserve">Informacja o opóźnieniu i odmowa zapłaty kar umownych przez Dewelopera:</w:t>
      </w:r>
      <w:r>
        <w:t xml:space="preserve"> </w:t>
      </w:r>
      <w:r>
        <w:t xml:space="preserve">Deweloper poinformował o opóźnieniu, ale odmówił zapłaty kar umownych, powołując się na wyłączenia odpowiedzialności z umowy [Źródło 1]. Skuteczność tej odmowy zależy od tego, czy klauzule wyłączające odpowiedzialność zostaną uznane za ważne i skuteczne. W przypadku uznania ich za abuzywne, odmowa Dewelopera będzie bezpodstawna.</w:t>
      </w:r>
      <w:r>
        <w:t xml:space="preserve"> </w:t>
      </w:r>
      <w:r>
        <w:t xml:space="preserve">*</w:t>
      </w:r>
      <w:r>
        <w:t xml:space="preserve"> </w:t>
      </w:r>
      <w:r>
        <w:rPr>
          <w:b/>
          <w:bCs/>
        </w:rPr>
        <w:t xml:space="preserve">Żądanie podpisania aneksu i przyjęcia dodatkowych kosztów:</w:t>
      </w:r>
      <w:r>
        <w:t xml:space="preserve"> </w:t>
      </w:r>
      <w:r>
        <w:t xml:space="preserve">Żądanie podpisania aneksu zrzekającego się roszczeń z tytułu kar umownych i akceptującego dodatkowe koszty (20 000,00 PLN) [Źródło 1] jest próbą renegocjacji warunków umowy na niekorzyść konsumenta w sytuacji jego słabszej pozycji. Odmowa podpisania takiego aneksu przez Klienta jest uzasadniona, ponieważ zobowiązania konsumenta nie mogą być kształtowane w sposób rażąco niekorzystny. Złożenie takiego wniosku świadczy o braku woli Dewelopera do polubownego rozwiązania sporu na zasadach równości stron.</w:t>
      </w:r>
      <w:r>
        <w:t xml:space="preserve"> </w:t>
      </w:r>
      <w:r>
        <w:t xml:space="preserve">*</w:t>
      </w:r>
      <w:r>
        <w:t xml:space="preserve"> </w:t>
      </w:r>
      <w:r>
        <w:rPr>
          <w:b/>
          <w:bCs/>
        </w:rPr>
        <w:t xml:space="preserve">W ocenie prawnej zasad swobody zawierania umów</w:t>
      </w:r>
      <w:r>
        <w:t xml:space="preserve"> </w:t>
      </w:r>
      <w:r>
        <w:t xml:space="preserve">nie ma charakteru bezwzględnego. Jej granice wyznaczają przepisy prawa i zasady współżycia społecznego (art. 353¹ Kodeksu cywilnego). Umowy, zwłaszcza w obrocie konsumenckim, które kształtują prawa i obowiązki stron w sposób nieodpowiadający słuszności kontraktowej, są sprzeczne z zasadami współżycia społecznego, np. rażąco nierównoważnie kształtujące wzajemne prawa i obowiązki, naruszające zasadę ekwiwalentności świadczeń [Źródło 9].</w:t>
      </w:r>
      <w:r>
        <w:t xml:space="preserve"> </w:t>
      </w:r>
      <w:r>
        <w:t xml:space="preserve">*</w:t>
      </w:r>
      <w:r>
        <w:t xml:space="preserve"> </w:t>
      </w:r>
      <w:r>
        <w:rPr>
          <w:b/>
          <w:bCs/>
        </w:rPr>
        <w:t xml:space="preserve">Ciężar dowodu</w:t>
      </w:r>
      <w:r>
        <w:t xml:space="preserve"> </w:t>
      </w:r>
      <w:r>
        <w:t xml:space="preserve">spoczywa na osobie, która z faktu tego wywodzi skutki prawne (art. 6 Kodeksu cywilnego, art. 232 Kodeksu postępowania cywilnego) [Źródło 1, 4, 6, 16]. Oznacza to, że Deweloper będzie musiał udowodnić zasadność swoich twierdzeń dotyczących przyczyn opóźnienia i skuteczności klauzul wyłączających odpowiedzialność.</w:t>
      </w:r>
    </w:p>
    <w:bookmarkEnd w:id="14"/>
    <w:bookmarkStart w:id="15" w:name="zastosowanie-właściwych-przepisów"/>
    <w:p>
      <w:pPr>
        <w:pStyle w:val="Heading3"/>
      </w:pPr>
      <w:r>
        <w:t xml:space="preserve">3. Zastosowanie właściwych przepisów</w:t>
      </w:r>
    </w:p>
    <w:p>
      <w:pPr>
        <w:pStyle w:val="Compact"/>
        <w:numPr>
          <w:ilvl w:val="0"/>
          <w:numId w:val="1005"/>
        </w:numPr>
      </w:pPr>
      <w:r>
        <w:rPr>
          <w:b/>
          <w:bCs/>
        </w:rPr>
        <w:t xml:space="preserve">Kodeks cywilny (KC):</w:t>
      </w:r>
    </w:p>
    <w:p>
      <w:pPr>
        <w:pStyle w:val="Compact"/>
        <w:numPr>
          <w:ilvl w:val="1"/>
          <w:numId w:val="1006"/>
        </w:numPr>
      </w:pPr>
      <w:r>
        <w:rPr>
          <w:b/>
          <w:bCs/>
        </w:rPr>
        <w:t xml:space="preserve">Art. 353¹ KC:</w:t>
      </w:r>
      <w:r>
        <w:t xml:space="preserve"> </w:t>
      </w:r>
      <w:r>
        <w:t xml:space="preserve">Zasada swobody umów, z ograniczeniami dotyczącymi m.in. zgodności z ustawą, zasadami współżycia społecznego i właściwością stosunku prawnego. Klauzule abuzywne z §9 ust. 4, §12 i §14 mogą naruszać te zasady [Źródło 1].</w:t>
      </w:r>
    </w:p>
    <w:p>
      <w:pPr>
        <w:pStyle w:val="Compact"/>
        <w:numPr>
          <w:ilvl w:val="1"/>
          <w:numId w:val="1006"/>
        </w:numPr>
      </w:pPr>
      <w:r>
        <w:rPr>
          <w:b/>
          <w:bCs/>
        </w:rPr>
        <w:t xml:space="preserve">Art. 385¹ § 1 KC:</w:t>
      </w:r>
      <w:r>
        <w:t xml:space="preserve"> </w:t>
      </w:r>
      <w:r>
        <w:t xml:space="preserve">Postanowienia umowy zawieranej z konsumentem, nieuzgodnione indywidualnie, nie wiążą go, jeżeli kształtują jego prawa i obowiązki w sposób sprzeczny z dobrymi obyczajami, rażąco naruszając jego interesy. Jest to kluczowy przepis w kwestionowaniu klauzul umownych Dewelopera [Źródło 9].</w:t>
      </w:r>
    </w:p>
    <w:p>
      <w:pPr>
        <w:pStyle w:val="Compact"/>
        <w:numPr>
          <w:ilvl w:val="1"/>
          <w:numId w:val="1006"/>
        </w:numPr>
      </w:pPr>
      <w:r>
        <w:rPr>
          <w:b/>
          <w:bCs/>
        </w:rPr>
        <w:t xml:space="preserve">Art. 385³ pkt 10 KC:</w:t>
      </w:r>
      <w:r>
        <w:t xml:space="preserve"> </w:t>
      </w:r>
      <w:r>
        <w:t xml:space="preserve">W razie wątpliwości uważa się, że niedozwolonymi postanowieniami umownymi są te, które w szczególności uprawniają kontrahenta konsumenta do jednostronnej zmiany umowy bez ważnej przyczyny wskazanej w tej umowie. Odnosi się do §12 umowy [Źródło 1].</w:t>
      </w:r>
    </w:p>
    <w:p>
      <w:pPr>
        <w:pStyle w:val="Compact"/>
        <w:numPr>
          <w:ilvl w:val="1"/>
          <w:numId w:val="1006"/>
        </w:numPr>
      </w:pPr>
      <w:r>
        <w:rPr>
          <w:b/>
          <w:bCs/>
        </w:rPr>
        <w:t xml:space="preserve">Art. 471 KC:</w:t>
      </w:r>
      <w:r>
        <w:t xml:space="preserve"> </w:t>
      </w:r>
      <w:r>
        <w:t xml:space="preserve">Dłużnik obowiązany jest do naprawienia szkody wynikłej z niewykonania lub nienależytego wykonania zobowiązania, chyba że niewykonanie lub nienależyte wykonanie jest następstwem okoliczności, za które dłużnik odpowiedzialności nie ponosi. Deweloper będzie musiał udowodnić brak swojej winy.</w:t>
      </w:r>
    </w:p>
    <w:p>
      <w:pPr>
        <w:pStyle w:val="Compact"/>
        <w:numPr>
          <w:ilvl w:val="1"/>
          <w:numId w:val="1006"/>
        </w:numPr>
      </w:pPr>
      <w:r>
        <w:rPr>
          <w:b/>
          <w:bCs/>
        </w:rPr>
        <w:t xml:space="preserve">Art. 483 § 1 KC:</w:t>
      </w:r>
      <w:r>
        <w:t xml:space="preserve"> </w:t>
      </w:r>
      <w:r>
        <w:t xml:space="preserve">Kara umowna - można zastrzec w umowie, że naprawienie szkody wynikłej z niewykonania lub nienależytego wykonania zobowiązania niepieniężnego nastąpi przez zapłatę określonej sumy (kara umowna).</w:t>
      </w:r>
    </w:p>
    <w:p>
      <w:pPr>
        <w:pStyle w:val="Compact"/>
        <w:numPr>
          <w:ilvl w:val="1"/>
          <w:numId w:val="1006"/>
        </w:numPr>
      </w:pPr>
      <w:r>
        <w:rPr>
          <w:b/>
          <w:bCs/>
        </w:rPr>
        <w:t xml:space="preserve">Art. 484 § 1 KC:</w:t>
      </w:r>
      <w:r>
        <w:t xml:space="preserve"> </w:t>
      </w:r>
      <w:r>
        <w:t xml:space="preserve">W razie niewykonania lub nienależytego wykonania zobowiązania kara umowna należy się w zastrzeżonej wysokości bez względu na wysokość poniesionej szkody. Odszkodowanie za nienależyte wykonanie zobowiązania (w postaci opóźnienia) jest w tym przypadku kara umowna.</w:t>
      </w:r>
    </w:p>
    <w:p>
      <w:pPr>
        <w:pStyle w:val="Compact"/>
        <w:numPr>
          <w:ilvl w:val="1"/>
          <w:numId w:val="1006"/>
        </w:numPr>
      </w:pPr>
      <w:r>
        <w:rPr>
          <w:b/>
          <w:bCs/>
        </w:rPr>
        <w:t xml:space="preserve">Art. 484 § 2 KC:</w:t>
      </w:r>
      <w:r>
        <w:t xml:space="preserve"> </w:t>
      </w:r>
      <w:r>
        <w:t xml:space="preserve">Wierzyciel nie może żądać odszkodowania przenoszącego wysokość zastrzeżonej kary umownej, chyba że strony inaczej postanowiły. Jednakże, jeśli Deweloper powołuje się na siłę wyższą i inne wyłączenia odpowiedzialności, a te klauzule zostaną uznane za abuzywne, Nabywca może domagać się odszkodowania uzupełniającego na zasadach ogólnych.</w:t>
      </w:r>
    </w:p>
    <w:p>
      <w:pPr>
        <w:pStyle w:val="Compact"/>
        <w:numPr>
          <w:ilvl w:val="1"/>
          <w:numId w:val="1006"/>
        </w:numPr>
      </w:pPr>
      <w:r>
        <w:rPr>
          <w:b/>
          <w:bCs/>
        </w:rPr>
        <w:t xml:space="preserve">Art. 491 § 1 KC:</w:t>
      </w:r>
      <w:r>
        <w:t xml:space="preserve"> </w:t>
      </w:r>
      <w:r>
        <w:t xml:space="preserve">Jeżeli jedna ze stron dopuszcza się zwłoki w wykonaniu zobowiązania z umowy wzajemnej, druga strona może wyznaczyć jej odpowiedni dodatkowy termin do wykonania z zagrożeniem, iż w razie bezskutecznego upływu wyznaczonego terminu będzie uprawniona do odstąpienia od umowy. W przypadku odstąpienia Klient może żądać zwrotu wpłaconych środków (374 000,00 PLN [Źródło 1]).</w:t>
      </w:r>
    </w:p>
    <w:p>
      <w:pPr>
        <w:pStyle w:val="Compact"/>
        <w:numPr>
          <w:ilvl w:val="1"/>
          <w:numId w:val="1006"/>
        </w:numPr>
      </w:pPr>
      <w:r>
        <w:rPr>
          <w:b/>
          <w:bCs/>
        </w:rPr>
        <w:t xml:space="preserve">Art. 494 KC:</w:t>
      </w:r>
      <w:r>
        <w:t xml:space="preserve"> </w:t>
      </w:r>
      <w:r>
        <w:t xml:space="preserve">Strona, która odstępuje od umowy wzajemnej, obowiązana jest zwrócić drugiej stronie wszystko, co otrzymała od niej na mocy umowy; może żądać zwrotu tego, co sama świadczyła, oraz naprawienia szkody wynikłej z niewykonania zobowiązania.</w:t>
      </w:r>
    </w:p>
    <w:p>
      <w:pPr>
        <w:pStyle w:val="Compact"/>
        <w:numPr>
          <w:ilvl w:val="1"/>
          <w:numId w:val="1006"/>
        </w:numPr>
      </w:pPr>
      <w:r>
        <w:rPr>
          <w:b/>
          <w:bCs/>
        </w:rPr>
        <w:t xml:space="preserve">Art. 6 KC:</w:t>
      </w:r>
      <w:r>
        <w:t xml:space="preserve"> </w:t>
      </w:r>
      <w:r>
        <w:t xml:space="preserve">Ciężar udowodnienia faktu spoczywa na osobie, która z faktu tego wywodzi skutki prawne.</w:t>
      </w:r>
    </w:p>
    <w:p>
      <w:pPr>
        <w:pStyle w:val="Compact"/>
        <w:numPr>
          <w:ilvl w:val="0"/>
          <w:numId w:val="1005"/>
        </w:numPr>
      </w:pPr>
      <w:r>
        <w:rPr>
          <w:b/>
          <w:bCs/>
        </w:rPr>
        <w:t xml:space="preserve">Kodeks postępowania cywilnego (KPC):</w:t>
      </w:r>
    </w:p>
    <w:p>
      <w:pPr>
        <w:pStyle w:val="Compact"/>
        <w:numPr>
          <w:ilvl w:val="1"/>
          <w:numId w:val="1007"/>
        </w:numPr>
      </w:pPr>
      <w:r>
        <w:rPr>
          <w:b/>
          <w:bCs/>
        </w:rPr>
        <w:t xml:space="preserve">Art. 232 KPC:</w:t>
      </w:r>
      <w:r>
        <w:t xml:space="preserve"> </w:t>
      </w:r>
      <w:r>
        <w:t xml:space="preserve">Strony są obowiązane wskazywać dowody dla stwierdzenia faktów, z których wywodzą skutki prawne.</w:t>
      </w:r>
    </w:p>
    <w:p>
      <w:pPr>
        <w:pStyle w:val="Compact"/>
        <w:numPr>
          <w:ilvl w:val="1"/>
          <w:numId w:val="1007"/>
        </w:numPr>
      </w:pPr>
      <w:r>
        <w:rPr>
          <w:b/>
          <w:bCs/>
        </w:rPr>
        <w:t xml:space="preserve">Art. 339 § 2 KPC:</w:t>
      </w:r>
      <w:r>
        <w:t xml:space="preserve"> </w:t>
      </w:r>
      <w:r>
        <w:t xml:space="preserve">W przypadku niestawiennictwa pozwanego na rozprawę lub niezłożenia odpowiedzi na pozew, przyjmuje się za prawdziwe twierdzenia powoda o okolicznościach faktycznych, chyba że budzą one uzasadnione wątpliwości albo zostały przytoczone w celu obejścia prawa. W niniejszej sprawie, nawet w przypadku wyroku zaocznego, sąd będzie weryfikował zasadność roszczeń [Źródło 1, 4, 6, 16].</w:t>
      </w:r>
    </w:p>
    <w:p>
      <w:pPr>
        <w:pStyle w:val="Compact"/>
        <w:numPr>
          <w:ilvl w:val="1"/>
          <w:numId w:val="1007"/>
        </w:numPr>
      </w:pPr>
      <w:r>
        <w:rPr>
          <w:b/>
          <w:bCs/>
        </w:rPr>
        <w:t xml:space="preserve">Art. 217 § 2 KPC:</w:t>
      </w:r>
      <w:r>
        <w:t xml:space="preserve"> </w:t>
      </w:r>
      <w:r>
        <w:t xml:space="preserve">Sąd pomija spóźnione twierdzenia i dowody, chyba że strona uprawdopodobni, że nie zgłosiła ich we właściwym czasie bez swojej winy lub że uwzględnienie spóźnionych twierdzeń i dowodów nie spowoduje zwłoki w rozpoznaniu sprawy albo że występują inne wyjątkowe okoliczności. Ma to znaczenie dla przedstawienia wszystkich dowodów już w pozwie [Źródło 10].</w:t>
      </w:r>
    </w:p>
    <w:p>
      <w:pPr>
        <w:pStyle w:val="Compact"/>
        <w:numPr>
          <w:ilvl w:val="1"/>
          <w:numId w:val="1007"/>
        </w:numPr>
      </w:pPr>
      <w:r>
        <w:rPr>
          <w:b/>
          <w:bCs/>
        </w:rPr>
        <w:t xml:space="preserve">Art. 730 i nast. KPC:</w:t>
      </w:r>
      <w:r>
        <w:t xml:space="preserve"> </w:t>
      </w:r>
      <w:r>
        <w:t xml:space="preserve">Przepisy o zabezpieczeniu powództwa.</w:t>
      </w:r>
    </w:p>
    <w:bookmarkEnd w:id="15"/>
    <w:bookmarkStart w:id="16" w:name="Xbe5410fce4dc2a615cc76fe9b108b31f04c4b66"/>
    <w:p>
      <w:pPr>
        <w:pStyle w:val="Heading3"/>
      </w:pPr>
      <w:r>
        <w:t xml:space="preserve">4. Odpowiedź na wszystkie zagadnienia z części III kazusu</w:t>
      </w:r>
    </w:p>
    <w:p>
      <w:pPr>
        <w:pStyle w:val="FirstParagraph"/>
      </w:pPr>
      <w:r>
        <w:rPr>
          <w:b/>
          <w:bCs/>
        </w:rPr>
        <w:t xml:space="preserve">a) Kwestie dowodowe:</w:t>
      </w:r>
      <w:r>
        <w:t xml:space="preserve"> </w:t>
      </w:r>
      <w:r>
        <w:t xml:space="preserve">Aby wykazać opóźnienie dewelopera, bezskuteczność powołania się na „siłę wyższą” i rzeczywiste straty Nabywcy, należy zgromadzić następujące dowody:</w:t>
      </w:r>
      <w:r>
        <w:t xml:space="preserve"> </w:t>
      </w:r>
      <w:r>
        <w:t xml:space="preserve">*</w:t>
      </w:r>
      <w:r>
        <w:t xml:space="preserve"> </w:t>
      </w:r>
      <w:r>
        <w:rPr>
          <w:b/>
          <w:bCs/>
        </w:rPr>
        <w:t xml:space="preserve">Opóźnienie Dewelopera:</w:t>
      </w:r>
      <w:r>
        <w:t xml:space="preserve"> </w:t>
      </w:r>
      <w:r>
        <w:t xml:space="preserve">* Korespondencja z Deweloperem (pisma, e-maile, SMS-y) dotyczące terminów i przyczyn opóźnień [Źródło 2].</w:t>
      </w:r>
      <w:r>
        <w:t xml:space="preserve"> </w:t>
      </w:r>
      <w:r>
        <w:t xml:space="preserve">* Harmonogramy budowy (pierwotny i ewentualne zmienione, jeśli Klient je otrzymał).</w:t>
      </w:r>
      <w:r>
        <w:t xml:space="preserve"> </w:t>
      </w:r>
      <w:r>
        <w:t xml:space="preserve">* Protokoły z budowy, jeśli były sporządzane, np. z odbiorów częściowych.</w:t>
      </w:r>
      <w:r>
        <w:t xml:space="preserve"> </w:t>
      </w:r>
      <w:r>
        <w:t xml:space="preserve">* Umowa deweloperska DEV/████/01 z datą 10 stycznia 2024 r. i terminem przekazania lokalu na 30 września 2024 r. [Źródło 1].</w:t>
      </w:r>
      <w:r>
        <w:t xml:space="preserve"> </w:t>
      </w:r>
      <w:r>
        <w:t xml:space="preserve">* Dowody wpłat transz przez Klienta (potwierdzenia przelewów) [Źródło 2].</w:t>
      </w:r>
      <w:r>
        <w:t xml:space="preserve"> </w:t>
      </w:r>
      <w:r>
        <w:t xml:space="preserve">* Informacje od Dewelopera z 25 września 2024 r. o opóźnieniu do 31 grudnia 2024 r. oraz z 31 grudnia 2024 r. o nieokreślonym terminie przekazania lokalu [Źródło 1].</w:t>
      </w:r>
      <w:r>
        <w:t xml:space="preserve"> </w:t>
      </w:r>
      <w:r>
        <w:t xml:space="preserve">*</w:t>
      </w:r>
      <w:r>
        <w:t xml:space="preserve"> </w:t>
      </w:r>
      <w:r>
        <w:rPr>
          <w:b/>
          <w:bCs/>
        </w:rPr>
        <w:t xml:space="preserve">Bezskuteczność powołania się Dewelopera na „siłę wyższą”:</w:t>
      </w:r>
      <w:r>
        <w:t xml:space="preserve"> </w:t>
      </w:r>
      <w:r>
        <w:t xml:space="preserve">* Oferty dostawców materiałów budowlanych z okresu poprzedzającego opóźnienia i z okresu ich wystąpienia, wskazujące na dostępność lub braki [Źródło 2].</w:t>
      </w:r>
      <w:r>
        <w:t xml:space="preserve"> </w:t>
      </w:r>
      <w:r>
        <w:t xml:space="preserve">* Dokumentacja zamówień i dostaw materiałów, w tym ewentualne dowody na opóźnienia ze strony dostawców (pisma, faktury, listy przewozowe) [Źródło 2].</w:t>
      </w:r>
      <w:r>
        <w:t xml:space="preserve"> </w:t>
      </w:r>
      <w:r>
        <w:t xml:space="preserve">* Protokoły z budowy, dziennik budowy, wskazujące na faktyczny przebieg prac i ewentualne przestojenie [Źródło 2].</w:t>
      </w:r>
      <w:r>
        <w:t xml:space="preserve"> </w:t>
      </w:r>
      <w:r>
        <w:t xml:space="preserve">* Pismo od podwykonawcy P. B. S. sp. z o.o. z 18 grudnia 2024 r., jeśli potwierdza, że opóźnienia nie wynikają z ich winy lub wskazujące na faktyczne przyczyny [Źródło 2].</w:t>
      </w:r>
      <w:r>
        <w:t xml:space="preserve"> </w:t>
      </w:r>
      <w:r>
        <w:t xml:space="preserve">* Brak dokumentacji ze strony Dewelopera, która potwierdzałaby, że działał z należytą starannością w celu minimalizacji opóźnień.</w:t>
      </w:r>
      <w:r>
        <w:t xml:space="preserve"> </w:t>
      </w:r>
      <w:r>
        <w:t xml:space="preserve">*</w:t>
      </w:r>
      <w:r>
        <w:t xml:space="preserve"> </w:t>
      </w:r>
      <w:r>
        <w:rPr>
          <w:b/>
          <w:bCs/>
        </w:rPr>
        <w:t xml:space="preserve">Środki dowodowe:</w:t>
      </w:r>
      <w:r>
        <w:t xml:space="preserve"> </w:t>
      </w:r>
      <w:r>
        <w:t xml:space="preserve">*</w:t>
      </w:r>
      <w:r>
        <w:t xml:space="preserve"> </w:t>
      </w:r>
      <w:r>
        <w:rPr>
          <w:b/>
          <w:bCs/>
        </w:rPr>
        <w:t xml:space="preserve">Ekspertyza rzeczoznawcy budowlanego/biegłego:</w:t>
      </w:r>
      <w:r>
        <w:t xml:space="preserve"> </w:t>
      </w:r>
      <w:r>
        <w:t xml:space="preserve">Na okoliczność oceny przyczyn opóźnień, możliwości ich uniknięcia przez Dewelopera, a także na zasadność powoływania się na</w:t>
      </w:r>
      <w:r>
        <w:t xml:space="preserve"> </w:t>
      </w:r>
      <w:r>
        <w:t xml:space="preserve">“siłę wyższą”</w:t>
      </w:r>
      <w:r>
        <w:t xml:space="preserve"> </w:t>
      </w:r>
      <w:r>
        <w:t xml:space="preserve">lub inne okoliczności wyłączające odpowiedzialność [Źródło 2]. Biegły może ocenić, czy zmiany projektu były konieczne, czy Deweloper działał z należytą starannością w doborze podwykonawców i dostawców.</w:t>
      </w:r>
      <w:r>
        <w:t xml:space="preserve"> </w:t>
      </w:r>
      <w:r>
        <w:t xml:space="preserve">*</w:t>
      </w:r>
      <w:r>
        <w:t xml:space="preserve"> </w:t>
      </w:r>
      <w:r>
        <w:rPr>
          <w:b/>
          <w:bCs/>
        </w:rPr>
        <w:t xml:space="preserve">Wezwanie świadków:</w:t>
      </w:r>
      <w:r>
        <w:t xml:space="preserve"> </w:t>
      </w:r>
      <w:r>
        <w:t xml:space="preserve">Pracowników Dewelopera lub podwykonawców (np. ze P. B. S. sp. z o.o. [Źródło 1]), w celu zeznań na temat przyczyn opóźnień, organizacji prac, dostępności materiałów [Źródło 2].</w:t>
      </w:r>
      <w:r>
        <w:t xml:space="preserve"> </w:t>
      </w:r>
      <w:r>
        <w:t xml:space="preserve">*</w:t>
      </w:r>
      <w:r>
        <w:t xml:space="preserve"> </w:t>
      </w:r>
      <w:r>
        <w:rPr>
          <w:b/>
          <w:bCs/>
        </w:rPr>
        <w:t xml:space="preserve">Wezwanie do przedstawienia dokumentacji:</w:t>
      </w:r>
      <w:r>
        <w:t xml:space="preserve"> </w:t>
      </w:r>
      <w:r>
        <w:t xml:space="preserve">Umów z podwykonawcami, dokumentacji projektowej, wykazu zamówień/dostaw (art. 255 § 2 KPC).</w:t>
      </w:r>
      <w:r>
        <w:t xml:space="preserve"> </w:t>
      </w:r>
      <w:r>
        <w:t xml:space="preserve">*</w:t>
      </w:r>
      <w:r>
        <w:t xml:space="preserve"> </w:t>
      </w:r>
      <w:r>
        <w:rPr>
          <w:b/>
          <w:bCs/>
        </w:rPr>
        <w:t xml:space="preserve">Rzeczywiste straty Nabywcy (koszty najmu zastępczego):</w:t>
      </w:r>
      <w:r>
        <w:t xml:space="preserve"> </w:t>
      </w:r>
      <w:r>
        <w:t xml:space="preserve">* Umowa najmu mieszkania zastępczego, faktury, potwierdzenia przelewów opłat za najem [Źródło 2].</w:t>
      </w:r>
      <w:r>
        <w:t xml:space="preserve"> </w:t>
      </w:r>
      <w:r>
        <w:t xml:space="preserve">* Potwierdzenia przelewów czynszu za lokal zastępczy [Źródło 2].</w:t>
      </w:r>
      <w:r>
        <w:t xml:space="preserve"> </w:t>
      </w:r>
      <w:r>
        <w:t xml:space="preserve">* Koszty najmu zastępczego wyniosły dotychczas 31 200,00 PLN [Źródło 1].</w:t>
      </w:r>
    </w:p>
    <w:p>
      <w:pPr>
        <w:pStyle w:val="BodyText"/>
      </w:pPr>
      <w:r>
        <w:rPr>
          <w:b/>
          <w:bCs/>
        </w:rPr>
        <w:t xml:space="preserve">Ocena dowodów z perspektywy sądowej:</w:t>
      </w:r>
      <w:r>
        <w:t xml:space="preserve"> </w:t>
      </w:r>
      <w:r>
        <w:t xml:space="preserve">Sąd będzie oceniał dowody zgodnie z zasadą swobodnej oceny dowodów (art. 233 KPC). Kluczowe będzie wykazanie przyczynowości między opóźnieniem Dewelopera a poniesioną szkodą. Sąd zwróci uwagę na to, czy Deweloper, jako profesjonalista, podjął wszelkie możliwe działania w celu zapobieżenia opóźnieniom. W kontekście klauzul abuzywnych, ciężar dowodu spoczywać będzie na Deweloperze w zakresie wykazania, że klauzule te nie kształtują praw i obowiązków konsumenta w sposób rażąco naruszający jego interesy. Z uwagi na postawę Dewelopera, który odmawia zapłaty i żąda aneksu, Klient powinien być przygotowany na pełne postępowanie dowodowe.</w:t>
      </w:r>
    </w:p>
    <w:p>
      <w:pPr>
        <w:pStyle w:val="BodyText"/>
      </w:pPr>
      <w:r>
        <w:rPr>
          <w:b/>
          <w:bCs/>
        </w:rPr>
        <w:t xml:space="preserve">b) Analiza terminu i przedawnienia:</w:t>
      </w:r>
      <w:r>
        <w:t xml:space="preserve"> </w:t>
      </w:r>
      <w:r>
        <w:t xml:space="preserve">*</w:t>
      </w:r>
      <w:r>
        <w:t xml:space="preserve"> </w:t>
      </w:r>
      <w:r>
        <w:rPr>
          <w:b/>
          <w:bCs/>
        </w:rPr>
        <w:t xml:space="preserve">Kary umowne:</w:t>
      </w:r>
      <w:r>
        <w:t xml:space="preserve"> </w:t>
      </w:r>
      <w:r>
        <w:t xml:space="preserve">Roszczenia z tytułu kar umownych stają się wymagalne z każdym dniem opóźnienia. Bieg terminu przedawnienia dla poszczególnych dni opóźnienia rozpoczyna się od dnia, w którym kara stała się wymagalna za dany dzień. Roszczenia o kary umowne z tytułu opóźnienia w przekazaniu lokalu (które miało nastąpić 30.09.2024 r.) zaczynają być wymagalne od 1.10.2024 r. [Źródło 1].</w:t>
      </w:r>
      <w:r>
        <w:t xml:space="preserve"> </w:t>
      </w:r>
      <w:r>
        <w:t xml:space="preserve">*</w:t>
      </w:r>
      <w:r>
        <w:t xml:space="preserve"> </w:t>
      </w:r>
      <w:r>
        <w:rPr>
          <w:b/>
          <w:bCs/>
        </w:rPr>
        <w:t xml:space="preserve">Termin przedawnienia:</w:t>
      </w:r>
      <w:r>
        <w:t xml:space="preserve"> </w:t>
      </w:r>
      <w:r>
        <w:t xml:space="preserve">Ogólny termin przedawnienia dla roszczeń z umowy deweloperskiej (jako zobowiązania związane z prowadzeniem działalności gospodarczej) wynosi 3 lata (art. 118 Kodeksu cywilnego). Roszczenia o zapłatę kar umownych za opóźnienie oraz odszkodowania z tytułu najmu mieszkania zastępczego przedawniają się z upływem 3 lat od daty ich wymagalności. Mając na uwadze, że opóźnienie rozpoczęło się 1 października 2024 r. [Źródło 1], roszczenia za każdy dzień opóźnienia będą się przedawniać sukcesywnie. Klient nie jest narażony na natychmiastowe przedawnienie.</w:t>
      </w:r>
      <w:r>
        <w:t xml:space="preserve"> </w:t>
      </w:r>
      <w:r>
        <w:t xml:space="preserve">*</w:t>
      </w:r>
      <w:r>
        <w:t xml:space="preserve"> </w:t>
      </w:r>
      <w:r>
        <w:rPr>
          <w:b/>
          <w:bCs/>
        </w:rPr>
        <w:t xml:space="preserve">Odstąpienie od umowy:</w:t>
      </w:r>
      <w:r>
        <w:t xml:space="preserve"> </w:t>
      </w:r>
      <w:r>
        <w:t xml:space="preserve">Prawo do odstąpienia od umowy z powodu zwłoki Dewelopera przysługuje po bezskutecznym upływie dodatkowego terminu wyznaczonego Deweloperowi (art. 491 § 1 KC). Termin na odstąpienie od umowy nie jest terminem przedawnienia roszczenia, lecz terminem do wykonania prawa kształtującego.</w:t>
      </w:r>
    </w:p>
    <w:p>
      <w:pPr>
        <w:pStyle w:val="BodyText"/>
      </w:pPr>
      <w:r>
        <w:rPr>
          <w:b/>
          <w:bCs/>
        </w:rPr>
        <w:t xml:space="preserve">c) Ocena ważności i skuteczności klauzul umownych:</w:t>
      </w:r>
      <w:r>
        <w:t xml:space="preserve"> </w:t>
      </w:r>
      <w:r>
        <w:t xml:space="preserve">Ocena klauzul z §9 ust. 4, §12 i §14 została przedstawiona powyżej. Klauzule te, zwłaszcza te przerzucające ryzyko niedostępności materiałów i działań podwykonawców oraz zezwalające na jednostronne zmiany w projekcie wraz z obciążeniem kosztami, są wysoce prawdopodobne do uznania za abuzywne (art. 385¹ § 1 KC), a co za tym idzie – niewiążące dla konsumenta [Źródło 9]. Oznaczałoby to, że Deweloper nie może skutecznie powoływać się na te postanowienia w celu uniknięcia odpowiedzialności za opóźnienie.</w:t>
      </w:r>
    </w:p>
    <w:bookmarkEnd w:id="16"/>
    <w:bookmarkStart w:id="17" w:name="wyliczenie-roszczeń"/>
    <w:p>
      <w:pPr>
        <w:pStyle w:val="Heading3"/>
      </w:pPr>
      <w:r>
        <w:t xml:space="preserve">5. Wyliczenie roszczeń</w:t>
      </w:r>
    </w:p>
    <w:p>
      <w:pPr>
        <w:pStyle w:val="FirstParagraph"/>
      </w:pPr>
      <w:r>
        <w:rPr>
          <w:b/>
          <w:bCs/>
        </w:rPr>
        <w:t xml:space="preserve">a) Należne kary umowne:</w:t>
      </w:r>
      <w:r>
        <w:t xml:space="preserve"> </w:t>
      </w:r>
      <w:r>
        <w:t xml:space="preserve">* Wartość umowy: 548 000,00 PLN [Źródło 1].</w:t>
      </w:r>
      <w:r>
        <w:t xml:space="preserve"> </w:t>
      </w:r>
      <w:r>
        <w:t xml:space="preserve">* Stawka kary umownej: 0,1% wartości umowy za każdy dzień opóźnienia [Źródło 1].</w:t>
      </w:r>
      <w:r>
        <w:t xml:space="preserve"> </w:t>
      </w:r>
      <w:r>
        <w:t xml:space="preserve">* Okres opóźnienia od 1 października 2024 r. do 31 grudnia 2024 r. (92 dni) [Źródło 1].</w:t>
      </w:r>
      <w:r>
        <w:t xml:space="preserve"> </w:t>
      </w:r>
      <w:r>
        <w:t xml:space="preserve">* Kara umowna za dzień: 548 000,00 PLN * 0,1% = 548,00 PLN.</w:t>
      </w:r>
      <w:r>
        <w:t xml:space="preserve"> </w:t>
      </w:r>
      <w:r>
        <w:t xml:space="preserve">* Kary umowne do 31 grudnia 2024 r.: 92 dni * 548,00 PLN =</w:t>
      </w:r>
      <w:r>
        <w:t xml:space="preserve"> </w:t>
      </w:r>
      <w:r>
        <w:rPr>
          <w:b/>
          <w:bCs/>
        </w:rPr>
        <w:t xml:space="preserve">50 416,00 PLN</w:t>
      </w:r>
      <w:r>
        <w:t xml:space="preserve">.</w:t>
      </w:r>
      <w:r>
        <w:t xml:space="preserve"> </w:t>
      </w:r>
      <w:r>
        <w:t xml:space="preserve">* Kary umowne za okres od 1 stycznia 2025 r. do dnia sporządzenia opinii (21 czerwca 2026 r.):</w:t>
      </w:r>
      <w:r>
        <w:t xml:space="preserve"> </w:t>
      </w:r>
      <w:r>
        <w:t xml:space="preserve">* Liczba dni:</w:t>
      </w:r>
      <w:r>
        <w:t xml:space="preserve"> </w:t>
      </w:r>
      <w:r>
        <w:t xml:space="preserve">* Styczeń 2025: 31 dni</w:t>
      </w:r>
      <w:r>
        <w:t xml:space="preserve"> </w:t>
      </w:r>
      <w:r>
        <w:t xml:space="preserve">* Luty 2025: 28 dni</w:t>
      </w:r>
      <w:r>
        <w:t xml:space="preserve"> </w:t>
      </w:r>
      <w:r>
        <w:t xml:space="preserve">* Marzec 2025: 31 dni</w:t>
      </w:r>
      <w:r>
        <w:t xml:space="preserve"> </w:t>
      </w:r>
      <w:r>
        <w:t xml:space="preserve">* Kwiecień 2025: 30 dni</w:t>
      </w:r>
      <w:r>
        <w:t xml:space="preserve"> </w:t>
      </w:r>
      <w:r>
        <w:t xml:space="preserve">* Maj 2025: 31 dni</w:t>
      </w:r>
      <w:r>
        <w:t xml:space="preserve"> </w:t>
      </w:r>
      <w:r>
        <w:t xml:space="preserve">* Czerwiec 2025: 30 dni</w:t>
      </w:r>
      <w:r>
        <w:t xml:space="preserve"> </w:t>
      </w:r>
      <w:r>
        <w:t xml:space="preserve">* Lipiec 2025: 31 dni</w:t>
      </w:r>
      <w:r>
        <w:t xml:space="preserve"> </w:t>
      </w:r>
      <w:r>
        <w:t xml:space="preserve">* Sierpień 2025: 31 dni</w:t>
      </w:r>
      <w:r>
        <w:t xml:space="preserve"> </w:t>
      </w:r>
      <w:r>
        <w:t xml:space="preserve">* Wrzesień 2025: 30 dni</w:t>
      </w:r>
      <w:r>
        <w:t xml:space="preserve"> </w:t>
      </w:r>
      <w:r>
        <w:t xml:space="preserve">* Październik 2025: 31 dni</w:t>
      </w:r>
      <w:r>
        <w:t xml:space="preserve"> </w:t>
      </w:r>
      <w:r>
        <w:t xml:space="preserve">* Listopad 2025: 30 dni</w:t>
      </w:r>
      <w:r>
        <w:t xml:space="preserve"> </w:t>
      </w:r>
      <w:r>
        <w:t xml:space="preserve">* Grudzień 2025: 31 dni</w:t>
      </w:r>
      <w:r>
        <w:t xml:space="preserve"> </w:t>
      </w:r>
      <w:r>
        <w:t xml:space="preserve">* Styczeń 2026: 31 dni</w:t>
      </w:r>
      <w:r>
        <w:t xml:space="preserve"> </w:t>
      </w:r>
      <w:r>
        <w:t xml:space="preserve">* Luty 2026: 28 dni</w:t>
      </w:r>
      <w:r>
        <w:t xml:space="preserve"> </w:t>
      </w:r>
      <w:r>
        <w:t xml:space="preserve">* Marzec 2026: 31 dni</w:t>
      </w:r>
      <w:r>
        <w:t xml:space="preserve"> </w:t>
      </w:r>
      <w:r>
        <w:t xml:space="preserve">* Kwiecień 2026: 30 dni</w:t>
      </w:r>
      <w:r>
        <w:t xml:space="preserve"> </w:t>
      </w:r>
      <w:r>
        <w:t xml:space="preserve">* Maj 2026: 31 dni</w:t>
      </w:r>
      <w:r>
        <w:t xml:space="preserve"> </w:t>
      </w:r>
      <w:r>
        <w:t xml:space="preserve">* Czerwiec 2026: 21 dni</w:t>
      </w:r>
      <w:r>
        <w:t xml:space="preserve"> </w:t>
      </w:r>
      <w:r>
        <w:t xml:space="preserve">* Łącznie dni od 1 stycznia 2025 r. do 21 czerwca 2026 r.: 538 dni.</w:t>
      </w:r>
      <w:r>
        <w:t xml:space="preserve"> </w:t>
      </w:r>
      <w:r>
        <w:t xml:space="preserve">* Kary umowne za ten okres: 538 dni * 548,00 PLN =</w:t>
      </w:r>
      <w:r>
        <w:t xml:space="preserve"> </w:t>
      </w:r>
      <w:r>
        <w:rPr>
          <w:b/>
          <w:bCs/>
        </w:rPr>
        <w:t xml:space="preserve">294 824,00 PLN</w:t>
      </w:r>
      <w:r>
        <w:t xml:space="preserve">.</w:t>
      </w:r>
      <w:r>
        <w:t xml:space="preserve"> </w:t>
      </w:r>
      <w:r>
        <w:t xml:space="preserve">*</w:t>
      </w:r>
      <w:r>
        <w:t xml:space="preserve"> </w:t>
      </w:r>
      <w:r>
        <w:rPr>
          <w:b/>
          <w:bCs/>
        </w:rPr>
        <w:t xml:space="preserve">Całkowite należne kary umowne na 21 czerwca 2026 r.: 50 416,00 PLN + 294 824,00 PLN = 345 240,00 PLN.</w:t>
      </w:r>
      <w:r>
        <w:t xml:space="preserve"> </w:t>
      </w:r>
      <w:r>
        <w:t xml:space="preserve">*</w:t>
      </w:r>
      <w:r>
        <w:t xml:space="preserve"> </w:t>
      </w:r>
      <w:r>
        <w:rPr>
          <w:b/>
          <w:bCs/>
        </w:rPr>
        <w:t xml:space="preserve">Odsetki:</w:t>
      </w:r>
      <w:r>
        <w:t xml:space="preserve"> </w:t>
      </w:r>
      <w:r>
        <w:t xml:space="preserve">Odsetki ustawowe za opóźnienie (art. 481 § 1 i 2 KC) należy naliczać od kwoty kar umownych za każdy dzień opóźnienia, począwszy od dnia następnego po terminie wymagalności kary za dany dzień. W przypadku pozwu, odsetki za opóźnienie będą naliczane od dnia wniesienia pozwu od sumy wymagalnych kar umownych do dnia zapłaty. W wezwaniu przedsądowym należy zażądać zapłaty już wymagalnych kar wraz z odsetkami od wskazanych dat.</w:t>
      </w:r>
    </w:p>
    <w:p>
      <w:pPr>
        <w:pStyle w:val="BodyText"/>
      </w:pPr>
      <w:r>
        <w:rPr>
          <w:b/>
          <w:bCs/>
        </w:rPr>
        <w:t xml:space="preserve">b) Zwrot zapłaconych środków w przypadku skutecznego odstąpienia od umowy:</w:t>
      </w:r>
      <w:r>
        <w:t xml:space="preserve"> </w:t>
      </w:r>
      <w:r>
        <w:t xml:space="preserve">* Kwota wpłacona przez Klienta: 374 000,00 PLN [Źródło 1].</w:t>
      </w:r>
      <w:r>
        <w:t xml:space="preserve"> </w:t>
      </w:r>
      <w:r>
        <w:t xml:space="preserve">* W przypadku skutecznego odstąpienia od umowy, Klient ma prawo żądać zwrotu całej wpłaconej kwoty (art. 494 KC).</w:t>
      </w:r>
      <w:r>
        <w:t xml:space="preserve"> </w:t>
      </w:r>
      <w:r>
        <w:t xml:space="preserve">*</w:t>
      </w:r>
      <w:r>
        <w:t xml:space="preserve"> </w:t>
      </w:r>
      <w:r>
        <w:rPr>
          <w:b/>
          <w:bCs/>
        </w:rPr>
        <w:t xml:space="preserve">Potrącenia:</w:t>
      </w:r>
      <w:r>
        <w:t xml:space="preserve"> </w:t>
      </w:r>
      <w:r>
        <w:t xml:space="preserve">Deweloper może próbować potrącić ewentualne koszty lub wartość świadczeń spełnionych. Jednakże, w przypadku odstąpienia od umowy z winy Dewelopera (zwłoka), Deweloper nie ma prawa do obciążania Klienta kosztami, które są wynikiem jego własnego niewykonania zobowiązania. Potrącenie kar umownych przez Dewelopera na swoją rzecz jest niedopuszczalne. Potrącenia powinny być oceniane indywidualnie, ale co do zasady w niniejszej sprawie nie ma podstaw do potrąceń przez Dewelopera z tytułu wpłaconych środków, ponieważ świadczenie Nabywcy (wpłata) ma charakter pieniężny, a jego zwłoka nie uzasadnia żadnych potrąceń przez Dewelopera z tytułu jego własnego opóźnienia.</w:t>
      </w:r>
    </w:p>
    <w:p>
      <w:pPr>
        <w:pStyle w:val="BodyText"/>
      </w:pPr>
      <w:r>
        <w:rPr>
          <w:b/>
          <w:bCs/>
        </w:rPr>
        <w:t xml:space="preserve">c) Roszczenie o zwrot kosztów najmu zastępczego:</w:t>
      </w:r>
      <w:r>
        <w:t xml:space="preserve"> </w:t>
      </w:r>
      <w:r>
        <w:t xml:space="preserve">* Dotychczas poniesione koszty: 31 200,00 PLN [Źródło 1].</w:t>
      </w:r>
      <w:r>
        <w:t xml:space="preserve"> </w:t>
      </w:r>
      <w:r>
        <w:t xml:space="preserve">* Jest to roszczenie odszkodowawcze na zasadach ogólnych (art. 471 KC), wynikające z nienależytego wykonania umowy przez Dewelopera. Stanowi szkodę rzeczywistą (damnum emergens).</w:t>
      </w:r>
      <w:r>
        <w:t xml:space="preserve"> </w:t>
      </w:r>
      <w:r>
        <w:t xml:space="preserve">*</w:t>
      </w:r>
      <w:r>
        <w:t xml:space="preserve"> </w:t>
      </w:r>
      <w:r>
        <w:rPr>
          <w:b/>
          <w:bCs/>
        </w:rPr>
        <w:t xml:space="preserve">Sposób dokumentowania:</w:t>
      </w:r>
      <w:r>
        <w:t xml:space="preserve"> </w:t>
      </w:r>
      <w:r>
        <w:t xml:space="preserve">Faktury, umowy najmu krótkoterminowego, potwierdzenia przelewów opłat za najem [Źródło 2]. Należy zbierać dowody na bieżąco za każdy kolejny miesiąc najmu.</w:t>
      </w:r>
      <w:r>
        <w:t xml:space="preserve"> </w:t>
      </w:r>
      <w:r>
        <w:t xml:space="preserve">*</w:t>
      </w:r>
      <w:r>
        <w:t xml:space="preserve"> </w:t>
      </w:r>
      <w:r>
        <w:rPr>
          <w:b/>
          <w:bCs/>
        </w:rPr>
        <w:t xml:space="preserve">Miarka odpowiedzialności:</w:t>
      </w:r>
      <w:r>
        <w:t xml:space="preserve"> </w:t>
      </w:r>
      <w:r>
        <w:t xml:space="preserve">Odszkodowanie obejmuje wszelkie straty wynikłe z opóźnienia, w tym uzasadnione koszty najmu mieszkania zastępczego, które Nabywca był zmuszony ponieść.</w:t>
      </w:r>
      <w:r>
        <w:t xml:space="preserve"> </w:t>
      </w:r>
      <w:r>
        <w:t xml:space="preserve">*</w:t>
      </w:r>
      <w:r>
        <w:t xml:space="preserve"> </w:t>
      </w:r>
      <w:r>
        <w:rPr>
          <w:b/>
          <w:bCs/>
        </w:rPr>
        <w:t xml:space="preserve">Odsetki:</w:t>
      </w:r>
      <w:r>
        <w:t xml:space="preserve"> </w:t>
      </w:r>
      <w:r>
        <w:t xml:space="preserve">Odsetki ustawowe za opóźnienie od dnia wezwania do zapłaty (pozwu) do dnia zapłaty.</w:t>
      </w:r>
    </w:p>
    <w:p>
      <w:pPr>
        <w:pStyle w:val="BodyText"/>
      </w:pPr>
      <w:r>
        <w:rPr>
          <w:b/>
          <w:bCs/>
        </w:rPr>
        <w:t xml:space="preserve">d) Inne ewentualne koszty:</w:t>
      </w:r>
      <w:r>
        <w:t xml:space="preserve"> </w:t>
      </w:r>
      <w:r>
        <w:t xml:space="preserve">*</w:t>
      </w:r>
      <w:r>
        <w:t xml:space="preserve"> </w:t>
      </w:r>
      <w:r>
        <w:rPr>
          <w:b/>
          <w:bCs/>
        </w:rPr>
        <w:t xml:space="preserve">Opłaty sądowe:</w:t>
      </w:r>
      <w:r>
        <w:t xml:space="preserve"> </w:t>
      </w:r>
      <w:r>
        <w:t xml:space="preserve">W zależności od wartości przedmiotu sporu (WPS), opłata sądowa od pozwu wynosi 5% WPS (art. 13 ust. 1 ustawy o kosztach sądowych w sprawach cywilnych). W przypadku łącznych roszczeń Klienta (kary umowne + odszkodowanie), WPS będzie znacząca.</w:t>
      </w:r>
      <w:r>
        <w:t xml:space="preserve"> </w:t>
      </w:r>
      <w:r>
        <w:t xml:space="preserve">*</w:t>
      </w:r>
      <w:r>
        <w:t xml:space="preserve"> </w:t>
      </w:r>
      <w:r>
        <w:rPr>
          <w:b/>
          <w:bCs/>
        </w:rPr>
        <w:t xml:space="preserve">Koszty zastępstwa procesowego:</w:t>
      </w:r>
      <w:r>
        <w:t xml:space="preserve"> </w:t>
      </w:r>
      <w:r>
        <w:t xml:space="preserve">Według stawek minimalnych określonych w Rozporządzeniu Ministra Sprawiedliwości w sprawie opłat za czynności adwokackie/radców prawnych.</w:t>
      </w:r>
      <w:r>
        <w:t xml:space="preserve"> </w:t>
      </w:r>
      <w:r>
        <w:t xml:space="preserve">*</w:t>
      </w:r>
      <w:r>
        <w:t xml:space="preserve"> </w:t>
      </w:r>
      <w:r>
        <w:rPr>
          <w:b/>
          <w:bCs/>
        </w:rPr>
        <w:t xml:space="preserve">Koszty opinii biegłego:</w:t>
      </w:r>
      <w:r>
        <w:t xml:space="preserve"> </w:t>
      </w:r>
      <w:r>
        <w:t xml:space="preserve">Biegli sądowi są powoływani, gdy rozstrzygnięcie sprawy wymaga wiadomości specjalnych. Koszty opinii biegłego obciążają wstępnie stronę, która wnosi o przeprowadzenie dowodu, a ostatecznie stronę przegrywającą proces.</w:t>
      </w:r>
    </w:p>
    <w:bookmarkEnd w:id="17"/>
    <w:bookmarkStart w:id="18" w:name="rejestr-ryzyk-i-szans"/>
    <w:p>
      <w:pPr>
        <w:pStyle w:val="Heading3"/>
      </w:pPr>
      <w:r>
        <w:t xml:space="preserve">6. Rejestr ryzyk i szans</w:t>
      </w:r>
    </w:p>
    <w:p>
      <w:pPr>
        <w:pStyle w:val="FirstParagraph"/>
      </w:pPr>
      <w:r>
        <w:rPr>
          <w:b/>
          <w:bCs/>
        </w:rPr>
        <w:t xml:space="preserve">Szanse Klienta:</w:t>
      </w:r>
      <w:r>
        <w:t xml:space="preserve"> </w:t>
      </w:r>
      <w:r>
        <w:t xml:space="preserve">*</w:t>
      </w:r>
      <w:r>
        <w:t xml:space="preserve"> </w:t>
      </w:r>
      <w:r>
        <w:rPr>
          <w:b/>
          <w:bCs/>
        </w:rPr>
        <w:t xml:space="preserve">Wysokie prawdopodobieństwo uznania klauzul za abuzywne:</w:t>
      </w:r>
      <w:r>
        <w:t xml:space="preserve"> </w:t>
      </w:r>
      <w:r>
        <w:t xml:space="preserve">Postanowienia §9 ust. 4, §12 i §14 [Źródło 1] są bardzo szerokimi wyłączeniami odpowiedzialności Dewelopera lub uprawniają go do jednostronnego kształtowania obowiązków Nabywcy, co jest niezgodne z art. 385¹ § 1 KC. Sąd, działając z urzędu w sprawach konsumenckich, może uznać je za niewiążące.</w:t>
      </w:r>
      <w:r>
        <w:t xml:space="preserve"> </w:t>
      </w:r>
      <w:r>
        <w:t xml:space="preserve">*</w:t>
      </w:r>
      <w:r>
        <w:t xml:space="preserve"> </w:t>
      </w:r>
      <w:r>
        <w:rPr>
          <w:b/>
          <w:bCs/>
        </w:rPr>
        <w:t xml:space="preserve">Roszczenie o kary umowne:</w:t>
      </w:r>
      <w:r>
        <w:t xml:space="preserve"> </w:t>
      </w:r>
      <w:r>
        <w:t xml:space="preserve">Wysokość kary umownej (0,1% wartości umowy za dzień [Źródło 1]) jest standardowa, a opóźnienie jest udokumentowane. Po uznaniu klauzul wyłączających odpowiedzialność za bezskuteczne, roszczenie o kary umowne będzie silne.</w:t>
      </w:r>
      <w:r>
        <w:t xml:space="preserve"> </w:t>
      </w:r>
      <w:r>
        <w:t xml:space="preserve">*</w:t>
      </w:r>
      <w:r>
        <w:t xml:space="preserve"> </w:t>
      </w:r>
      <w:r>
        <w:rPr>
          <w:b/>
          <w:bCs/>
        </w:rPr>
        <w:t xml:space="preserve">Roszczenie odszkodowawcze:</w:t>
      </w:r>
      <w:r>
        <w:t xml:space="preserve"> </w:t>
      </w:r>
      <w:r>
        <w:t xml:space="preserve">Koszty najmu mieszkania zastępczego są bezpośrednią szkodą Klienta wynikającą z opóźnienia Dewelopera i są łatwe do udowodnienia fakturami i potwierdzeniami płatności.</w:t>
      </w:r>
      <w:r>
        <w:t xml:space="preserve"> </w:t>
      </w:r>
      <w:r>
        <w:t xml:space="preserve">*</w:t>
      </w:r>
      <w:r>
        <w:t xml:space="preserve"> </w:t>
      </w:r>
      <w:r>
        <w:rPr>
          <w:b/>
          <w:bCs/>
        </w:rPr>
        <w:t xml:space="preserve">Prawo odstąpienia od umowy:</w:t>
      </w:r>
      <w:r>
        <w:t xml:space="preserve"> </w:t>
      </w:r>
      <w:r>
        <w:t xml:space="preserve">Znaczące opóźnienie Dewelopera (który sam nie jest w stanie wskazać terminu przekazania lokalu [Źródło 1]) uprawnia Klienta do wyznaczenia dodatkowego terminu i w razie jego bezskutecznego upływu do odstąpienia od umowy, co otwiera drogę do zwrotu wpłaconych 374 000,00 PLN [Źródło 1].</w:t>
      </w:r>
    </w:p>
    <w:p>
      <w:pPr>
        <w:pStyle w:val="BodyText"/>
      </w:pPr>
      <w:r>
        <w:rPr>
          <w:b/>
          <w:bCs/>
        </w:rPr>
        <w:t xml:space="preserve">Ryzyka dla Klienta:</w:t>
      </w:r>
      <w:r>
        <w:t xml:space="preserve"> </w:t>
      </w:r>
      <w:r>
        <w:t xml:space="preserve">*</w:t>
      </w:r>
      <w:r>
        <w:t xml:space="preserve"> </w:t>
      </w:r>
      <w:r>
        <w:rPr>
          <w:b/>
          <w:bCs/>
        </w:rPr>
        <w:t xml:space="preserve">Długotrwałość postępowania sądowego:</w:t>
      </w:r>
      <w:r>
        <w:t xml:space="preserve"> </w:t>
      </w:r>
      <w:r>
        <w:t xml:space="preserve">Sprawy budowlane i konsumenckie często są złożone i mogą trwać długo, zwłaszcza z uwagi na konieczność powołania biegłych sądowych.</w:t>
      </w:r>
      <w:r>
        <w:t xml:space="preserve"> </w:t>
      </w:r>
      <w:r>
        <w:t xml:space="preserve">*</w:t>
      </w:r>
      <w:r>
        <w:t xml:space="preserve"> </w:t>
      </w:r>
      <w:r>
        <w:rPr>
          <w:b/>
          <w:bCs/>
        </w:rPr>
        <w:t xml:space="preserve">Koszty procesu:</w:t>
      </w:r>
      <w:r>
        <w:t xml:space="preserve"> </w:t>
      </w:r>
      <w:r>
        <w:t xml:space="preserve">Wysoka wartość przedmiotu sporu wiąże się z wysokimi opłatami sądowymi i kosztami zastępstwa procesowego. Chociaż w przypadku wygranej koszty te zostaną zwrócone, Klient musi być przygotowany na ich pokrycie na początkowym etapie.</w:t>
      </w:r>
      <w:r>
        <w:t xml:space="preserve"> </w:t>
      </w:r>
      <w:r>
        <w:t xml:space="preserve">*</w:t>
      </w:r>
      <w:r>
        <w:t xml:space="preserve"> </w:t>
      </w:r>
      <w:r>
        <w:rPr>
          <w:b/>
          <w:bCs/>
        </w:rPr>
        <w:t xml:space="preserve">Wzajemne potrącenia:</w:t>
      </w:r>
      <w:r>
        <w:t xml:space="preserve"> </w:t>
      </w:r>
      <w:r>
        <w:t xml:space="preserve">Deweloper może próbować podnosić zarzuty dotyczące potrąceń (np. z tytułu korzystania z nieruchomości, choć w tym przypadku nie miało to miejsca).</w:t>
      </w:r>
      <w:r>
        <w:t xml:space="preserve"> </w:t>
      </w:r>
      <w:r>
        <w:t xml:space="preserve">*</w:t>
      </w:r>
      <w:r>
        <w:t xml:space="preserve"> </w:t>
      </w:r>
      <w:r>
        <w:rPr>
          <w:b/>
          <w:bCs/>
        </w:rPr>
        <w:t xml:space="preserve">Deweloper może zakwestionować wysokość szkody:</w:t>
      </w:r>
      <w:r>
        <w:t xml:space="preserve"> </w:t>
      </w:r>
      <w:r>
        <w:t xml:space="preserve">Np. próbując wykazać, że stawki najmu zastępczego były zawyżone.</w:t>
      </w:r>
    </w:p>
    <w:p>
      <w:pPr>
        <w:pStyle w:val="BodyText"/>
      </w:pPr>
      <w:r>
        <w:rPr>
          <w:b/>
          <w:bCs/>
        </w:rPr>
        <w:t xml:space="preserve">Kontrargumenty strony przeciwnej (Dewelopera) i prawdopodobne strategie:</w:t>
      </w:r>
      <w:r>
        <w:t xml:space="preserve"> </w:t>
      </w:r>
      <w:r>
        <w:t xml:space="preserve">*</w:t>
      </w:r>
      <w:r>
        <w:t xml:space="preserve"> </w:t>
      </w:r>
      <w:r>
        <w:rPr>
          <w:b/>
          <w:bCs/>
        </w:rPr>
        <w:t xml:space="preserve">Powołanie się na siłę wyższą/okoliczności niezależne:</w:t>
      </w:r>
      <w:r>
        <w:t xml:space="preserve"> </w:t>
      </w:r>
      <w:r>
        <w:t xml:space="preserve">Deweloper będzie twierdził, że opóźnienia (niedostępność materiałów, zmiany prawa, działania podwykonawców) nie leżały po jego stronie i powoła się na §9 ust. 4 umowy [Źródło 1]. Klient musi być przygotowany na wykazanie, że te okoliczności nie spełniają kryteriów siły wyższej lub że Deweloper nie wykazał należytej staranności w zarządzaniu ryzykiem.</w:t>
      </w:r>
      <w:r>
        <w:t xml:space="preserve"> </w:t>
      </w:r>
      <w:r>
        <w:t xml:space="preserve">*</w:t>
      </w:r>
      <w:r>
        <w:t xml:space="preserve"> </w:t>
      </w:r>
      <w:r>
        <w:rPr>
          <w:b/>
          <w:bCs/>
        </w:rPr>
        <w:t xml:space="preserve">Kwestionowanie abuzywności klauzul:</w:t>
      </w:r>
      <w:r>
        <w:t xml:space="preserve"> </w:t>
      </w:r>
      <w:r>
        <w:t xml:space="preserve">Deweloper będzie bronił ważności klauzul, twierdząc, że były uzgodnione indywidualnie lub nie naruszają rażąco interesów konsumenta. Należy pamiętać, że ciężar dowodu indywidualnego uzgodnienia spoczywa na Deweloperze.</w:t>
      </w:r>
      <w:r>
        <w:t xml:space="preserve"> </w:t>
      </w:r>
      <w:r>
        <w:t xml:space="preserve">*</w:t>
      </w:r>
      <w:r>
        <w:t xml:space="preserve"> </w:t>
      </w:r>
      <w:r>
        <w:rPr>
          <w:b/>
          <w:bCs/>
        </w:rPr>
        <w:t xml:space="preserve">Żądanie podpisania aneksu:</w:t>
      </w:r>
      <w:r>
        <w:t xml:space="preserve"> </w:t>
      </w:r>
      <w:r>
        <w:t xml:space="preserve">Jest to próba Dewelopera na uniknięcie odpowiedzialności i przerzucenie ryzyka na Klienta. Deweloper może argumentować, że aneks jest próbą polubownego rozwiązania sporu.</w:t>
      </w:r>
      <w:r>
        <w:t xml:space="preserve"> </w:t>
      </w:r>
      <w:r>
        <w:t xml:space="preserve">*</w:t>
      </w:r>
      <w:r>
        <w:t xml:space="preserve"> </w:t>
      </w:r>
      <w:r>
        <w:rPr>
          <w:b/>
          <w:bCs/>
        </w:rPr>
        <w:t xml:space="preserve">Podniesienie zarzutu miarkowania kary umownej:</w:t>
      </w:r>
      <w:r>
        <w:t xml:space="preserve"> </w:t>
      </w:r>
      <w:r>
        <w:t xml:space="preserve">Deweloper może wnosić o obniżenie kary umownej, powołując się na jej rażące wygórowanie (art. 484 § 2 KC). Biorąc pod uwagę znaczące opóźnienie i brak realnego terminu przekazania lokalu, szanse Dewelopera na skuteczne miarkowanie kary mogą być ograniczone, zwłaszcza jeśli wykażemy rażące niedbalstwo lub winę umyślną.</w:t>
      </w:r>
    </w:p>
    <w:p>
      <w:pPr>
        <w:pStyle w:val="BodyText"/>
      </w:pPr>
      <w:r>
        <w:rPr>
          <w:b/>
          <w:bCs/>
        </w:rPr>
        <w:t xml:space="preserve">Rekomendowana strategia:</w:t>
      </w:r>
      <w:r>
        <w:t xml:space="preserve"> </w:t>
      </w:r>
      <w:r>
        <w:t xml:space="preserve">*</w:t>
      </w:r>
      <w:r>
        <w:t xml:space="preserve"> </w:t>
      </w:r>
      <w:r>
        <w:rPr>
          <w:b/>
          <w:bCs/>
        </w:rPr>
        <w:t xml:space="preserve">Postępowanie przedsądowe (faza negocjacji/mediacji):</w:t>
      </w:r>
      <w:r>
        <w:t xml:space="preserve"> </w:t>
      </w:r>
      <w:r>
        <w:t xml:space="preserve">Zdecydowanie zaleca się rozpoczęcie od rozszerzonego wezwania przedsądowego. Ma to na celu próbę ugodowego rozwiązania sporu, zebranie dodatkowych dowodów (np. reakcja Dewelopera na wezwanie, jego argumentacja) i spełnienie formalnego wymogu z art. 187 § 1 pkt 3 KPC (informacja, czy strony podjęły próbę mediacji lub innego pozasądowego rozwiązania sporu).</w:t>
      </w:r>
      <w:r>
        <w:t xml:space="preserve"> </w:t>
      </w:r>
      <w:r>
        <w:t xml:space="preserve">*</w:t>
      </w:r>
      <w:r>
        <w:t xml:space="preserve"> </w:t>
      </w:r>
      <w:r>
        <w:rPr>
          <w:b/>
          <w:bCs/>
        </w:rPr>
        <w:t xml:space="preserve">Postępowanie sądowe:</w:t>
      </w:r>
      <w:r>
        <w:t xml:space="preserve"> </w:t>
      </w:r>
      <w:r>
        <w:t xml:space="preserve">W przypadku braku porozumienia w fazie przedsądowej, należy skierować sprawę na drogę sądową.</w:t>
      </w:r>
      <w:r>
        <w:t xml:space="preserve"> </w:t>
      </w:r>
      <w:r>
        <w:t xml:space="preserve">*</w:t>
      </w:r>
      <w:r>
        <w:t xml:space="preserve"> </w:t>
      </w:r>
      <w:r>
        <w:rPr>
          <w:b/>
          <w:bCs/>
        </w:rPr>
        <w:t xml:space="preserve">Pozew o zapłatę kar umownych i odszkodowania uzupełniającego:</w:t>
      </w:r>
      <w:r>
        <w:t xml:space="preserve"> </w:t>
      </w:r>
      <w:r>
        <w:t xml:space="preserve">Jest to bardziej realistyczna strategia niż odstąpienie od umowy na tym etapie, zwłaszcza jeśli Klient jest nadal zainteresowany nabyciem lokalu. Pozwoli to na odzyskanie już poniesionych strat i na bieżące egzekwowanie kar.</w:t>
      </w:r>
      <w:r>
        <w:t xml:space="preserve"> </w:t>
      </w:r>
      <w:r>
        <w:t xml:space="preserve">*</w:t>
      </w:r>
      <w:r>
        <w:t xml:space="preserve"> </w:t>
      </w:r>
      <w:r>
        <w:rPr>
          <w:b/>
          <w:bCs/>
        </w:rPr>
        <w:t xml:space="preserve">Alternatywnie, odstąpienie od umowy:</w:t>
      </w:r>
      <w:r>
        <w:t xml:space="preserve"> </w:t>
      </w:r>
      <w:r>
        <w:t xml:space="preserve">Jeśli Klient nie jest już zainteresowany nabyciem lokalu z uwagi na przewlekłość i niepewność, strategia odstąpienia od umowy i żądania zwrotu wpłaconych środków (374 000,00 PLN) wraz z odszkodowaniem (31 200,00 PLN) jest silna. Należy jednak pamiętać o konieczności wyznaczenia Deweloperowi dodatkowego, odpowiedniego terminu na wykonanie umowy przed odstąpieniem (art. 491 § 1 KC).</w:t>
      </w:r>
      <w:r>
        <w:t xml:space="preserve"> </w:t>
      </w:r>
      <w:r>
        <w:t xml:space="preserve">*</w:t>
      </w:r>
      <w:r>
        <w:t xml:space="preserve"> </w:t>
      </w:r>
      <w:r>
        <w:rPr>
          <w:b/>
          <w:bCs/>
        </w:rPr>
        <w:t xml:space="preserve">Wniosek o zabezpieczenie powództwa:</w:t>
      </w:r>
      <w:r>
        <w:t xml:space="preserve"> </w:t>
      </w:r>
      <w:r>
        <w:t xml:space="preserve">Należy go złożyć wraz z pozwem lub w osobnym wniosku. W przypadku żądania zapłaty, realne jest zabezpieczenie roszczenia poprzez zajęcie rachunków bankowych Dewelopera lub ustanowienie hipoteki przymusowej na innych nieruchomościach Dewelopera. Możliwe jest również zabezpieczenie polegające na zakazie zbywania lokalu/przeniesienia jego własności na rzecz osób trzecich lub wpisanie roszczenia Klienta do księgi wieczystej nieruchomości (choć to drugie jest mniej pewne w przypadku umów deweloperskich). Zabezpieczenie jest kluczowe dla ochrony interesów Klienta w obliczu działań Dewelopera.</w:t>
      </w:r>
      <w:r>
        <w:t xml:space="preserve"> </w:t>
      </w:r>
      <w:r>
        <w:t xml:space="preserve">*</w:t>
      </w:r>
      <w:r>
        <w:t xml:space="preserve"> </w:t>
      </w:r>
      <w:r>
        <w:rPr>
          <w:b/>
          <w:bCs/>
        </w:rPr>
        <w:t xml:space="preserve">Organ (UOKiK, Rzecznik Konsumentów):</w:t>
      </w:r>
      <w:r>
        <w:t xml:space="preserve"> </w:t>
      </w:r>
      <w:r>
        <w:t xml:space="preserve">Skierowanie sprawy do Rzecznika Konsumentów lub UOKiK może stanowić wsparcie w negocjacjach lub w postępowaniu sądowym, zwłaszcza w zakresie uznania klauzul za abuzywne. UOKiK prowadzi rejestr klauzul niedozwolonych. Ich działania mogą wywrzeć dodatkową presję na Dewelopera.</w:t>
      </w:r>
    </w:p>
    <w:bookmarkEnd w:id="18"/>
    <w:bookmarkStart w:id="19" w:name="instrukcja-kolejnych-kroków"/>
    <w:p>
      <w:pPr>
        <w:pStyle w:val="Heading3"/>
      </w:pPr>
      <w:r>
        <w:t xml:space="preserve">7. Instrukcja kolejnych kroków</w:t>
      </w:r>
    </w:p>
    <w:p>
      <w:pPr>
        <w:pStyle w:val="Compact"/>
        <w:numPr>
          <w:ilvl w:val="0"/>
          <w:numId w:val="1008"/>
        </w:numPr>
      </w:pPr>
      <w:r>
        <w:rPr>
          <w:b/>
          <w:bCs/>
        </w:rPr>
        <w:t xml:space="preserve">Analiza i zebranie dokumentacji:</w:t>
      </w:r>
    </w:p>
    <w:p>
      <w:pPr>
        <w:pStyle w:val="Compact"/>
        <w:numPr>
          <w:ilvl w:val="1"/>
          <w:numId w:val="1009"/>
        </w:numPr>
      </w:pPr>
      <w:r>
        <w:t xml:space="preserve">Dokładne przejrzenie całej korespondencji z Deweloperem (e-maile, pisma, protokoły).</w:t>
      </w:r>
    </w:p>
    <w:p>
      <w:pPr>
        <w:pStyle w:val="Compact"/>
        <w:numPr>
          <w:ilvl w:val="1"/>
          <w:numId w:val="1009"/>
        </w:numPr>
      </w:pPr>
      <w:r>
        <w:t xml:space="preserve">Zgromadzenie wszystkich dowodów wpłat na rzecz Dewelopera.</w:t>
      </w:r>
    </w:p>
    <w:p>
      <w:pPr>
        <w:pStyle w:val="Compact"/>
        <w:numPr>
          <w:ilvl w:val="1"/>
          <w:numId w:val="1009"/>
        </w:numPr>
      </w:pPr>
      <w:r>
        <w:t xml:space="preserve">Zgromadzenie wszystkich dokumentów potwierdzających koszty najmu mieszkania zastępczego (umowa najmu, faktury, potwierdzenia przelewów).</w:t>
      </w:r>
    </w:p>
    <w:p>
      <w:pPr>
        <w:pStyle w:val="Compact"/>
        <w:numPr>
          <w:ilvl w:val="1"/>
          <w:numId w:val="1009"/>
        </w:numPr>
      </w:pPr>
      <w:r>
        <w:t xml:space="preserve">Wszelkie inne dokumenty dotyczące budowy (np. harmonogramy, informacje o zmianach projektowych, decyzje administracyjne, jeśli Klient je posiada).</w:t>
      </w:r>
    </w:p>
    <w:p>
      <w:pPr>
        <w:pStyle w:val="Compact"/>
        <w:numPr>
          <w:ilvl w:val="1"/>
          <w:numId w:val="1009"/>
        </w:numPr>
      </w:pPr>
      <w:r>
        <w:rPr>
          <w:b/>
          <w:bCs/>
        </w:rPr>
        <w:t xml:space="preserve">Termin:</w:t>
      </w:r>
      <w:r>
        <w:t xml:space="preserve"> </w:t>
      </w:r>
      <w:r>
        <w:t xml:space="preserve">Natychmiast.</w:t>
      </w:r>
    </w:p>
    <w:p>
      <w:pPr>
        <w:pStyle w:val="Compact"/>
        <w:numPr>
          <w:ilvl w:val="0"/>
          <w:numId w:val="1008"/>
        </w:numPr>
      </w:pPr>
      <w:r>
        <w:rPr>
          <w:b/>
          <w:bCs/>
        </w:rPr>
        <w:t xml:space="preserve">Przygotowanie i wysłanie rozszerzonego wezwania przedsądowego:</w:t>
      </w:r>
    </w:p>
    <w:p>
      <w:pPr>
        <w:pStyle w:val="Compact"/>
        <w:numPr>
          <w:ilvl w:val="1"/>
          <w:numId w:val="1010"/>
        </w:numPr>
      </w:pPr>
      <w:r>
        <w:t xml:space="preserve">Wezwanie do zapłaty wszystkich należnych kar umownych (do dnia wysłania wezwania) wraz z odsetkami.</w:t>
      </w:r>
    </w:p>
    <w:p>
      <w:pPr>
        <w:pStyle w:val="Compact"/>
        <w:numPr>
          <w:ilvl w:val="1"/>
          <w:numId w:val="1010"/>
        </w:numPr>
      </w:pPr>
      <w:r>
        <w:t xml:space="preserve">Wezwanie do zapłaty odszkodowania z tytułu najmu mieszkania zastępczego (do dnia wysłania wezwania) wraz z odsetkami.</w:t>
      </w:r>
    </w:p>
    <w:p>
      <w:pPr>
        <w:pStyle w:val="Compact"/>
        <w:numPr>
          <w:ilvl w:val="1"/>
          <w:numId w:val="1010"/>
        </w:numPr>
      </w:pPr>
      <w:r>
        <w:t xml:space="preserve">Wyznaczenie Deweloperowi ostatecznego, rozsądnego terminu na przekazanie lokalu (np. 14 lub 30 dni od daty otrzymania wezwania).</w:t>
      </w:r>
    </w:p>
    <w:p>
      <w:pPr>
        <w:pStyle w:val="Compact"/>
        <w:numPr>
          <w:ilvl w:val="1"/>
          <w:numId w:val="1010"/>
        </w:numPr>
      </w:pPr>
      <w:r>
        <w:t xml:space="preserve">Zażądanie przedstawienia harmonogramu usunięcia opóźnień.</w:t>
      </w:r>
    </w:p>
    <w:p>
      <w:pPr>
        <w:pStyle w:val="Compact"/>
        <w:numPr>
          <w:ilvl w:val="1"/>
          <w:numId w:val="1010"/>
        </w:numPr>
      </w:pPr>
      <w:r>
        <w:t xml:space="preserve">Poinformowanie o zamiarze skierowania sprawy na drogę sądową w przypadku braku reakcji lub odmowy spełnienia żądań, z jednoczesnym złożeniem wniosku o zabezpieczenie powództwa.</w:t>
      </w:r>
    </w:p>
    <w:p>
      <w:pPr>
        <w:pStyle w:val="Compact"/>
        <w:numPr>
          <w:ilvl w:val="1"/>
          <w:numId w:val="1010"/>
        </w:numPr>
      </w:pPr>
      <w:r>
        <w:rPr>
          <w:b/>
          <w:bCs/>
        </w:rPr>
        <w:t xml:space="preserve">Termin:</w:t>
      </w:r>
      <w:r>
        <w:t xml:space="preserve"> </w:t>
      </w:r>
      <w:r>
        <w:t xml:space="preserve">W ciągu 7 dni od dnia akceptacji strategii.</w:t>
      </w:r>
    </w:p>
    <w:p>
      <w:pPr>
        <w:pStyle w:val="Compact"/>
        <w:numPr>
          <w:ilvl w:val="0"/>
          <w:numId w:val="1008"/>
        </w:numPr>
      </w:pPr>
      <w:r>
        <w:rPr>
          <w:b/>
          <w:bCs/>
        </w:rPr>
        <w:t xml:space="preserve">Monitorowanie reakcji Dewelopera:</w:t>
      </w:r>
    </w:p>
    <w:p>
      <w:pPr>
        <w:pStyle w:val="Compact"/>
        <w:numPr>
          <w:ilvl w:val="1"/>
          <w:numId w:val="1011"/>
        </w:numPr>
      </w:pPr>
      <w:r>
        <w:t xml:space="preserve">Śledzenie odpowiedzi Dewelopera na wezwanie. Brak odpowiedzi lub odmowa będzie podstawą do dalszych kroków.</w:t>
      </w:r>
    </w:p>
    <w:p>
      <w:pPr>
        <w:pStyle w:val="Compact"/>
        <w:numPr>
          <w:ilvl w:val="1"/>
          <w:numId w:val="1011"/>
        </w:numPr>
      </w:pPr>
      <w:r>
        <w:rPr>
          <w:b/>
          <w:bCs/>
        </w:rPr>
        <w:t xml:space="preserve">Termin:</w:t>
      </w:r>
      <w:r>
        <w:t xml:space="preserve"> </w:t>
      </w:r>
      <w:r>
        <w:t xml:space="preserve">Okres wskazany w wezwaniu (np. 7-14 dni na odpowiedź).</w:t>
      </w:r>
    </w:p>
    <w:p>
      <w:pPr>
        <w:pStyle w:val="Compact"/>
        <w:numPr>
          <w:ilvl w:val="0"/>
          <w:numId w:val="1008"/>
        </w:numPr>
      </w:pPr>
      <w:r>
        <w:rPr>
          <w:b/>
          <w:bCs/>
        </w:rPr>
        <w:t xml:space="preserve">Przygotowanie i złożenie pozwu do Sądu Rejonowego:</w:t>
      </w:r>
    </w:p>
    <w:p>
      <w:pPr>
        <w:pStyle w:val="Compact"/>
        <w:numPr>
          <w:ilvl w:val="1"/>
          <w:numId w:val="1012"/>
        </w:numPr>
      </w:pPr>
      <w:r>
        <w:t xml:space="preserve">W przypadku braku satysfakcjonującej odpowiedzi Dewelopera.</w:t>
      </w:r>
    </w:p>
    <w:p>
      <w:pPr>
        <w:pStyle w:val="Compact"/>
        <w:numPr>
          <w:ilvl w:val="1"/>
          <w:numId w:val="1012"/>
        </w:numPr>
      </w:pPr>
      <w:r>
        <w:t xml:space="preserve">Pozew powinien obejmować:</w:t>
      </w:r>
    </w:p>
    <w:p>
      <w:pPr>
        <w:pStyle w:val="Compact"/>
        <w:numPr>
          <w:ilvl w:val="2"/>
          <w:numId w:val="1013"/>
        </w:numPr>
      </w:pPr>
      <w:r>
        <w:t xml:space="preserve">Żądanie zapłaty kar umownych za opóźnienie (do dnia wniesienia pozwu).</w:t>
      </w:r>
    </w:p>
    <w:p>
      <w:pPr>
        <w:pStyle w:val="Compact"/>
        <w:numPr>
          <w:ilvl w:val="2"/>
          <w:numId w:val="1013"/>
        </w:numPr>
      </w:pPr>
      <w:r>
        <w:t xml:space="preserve">Żądanie odszkodowania z tytułu najmu mieszkania zastępczego (do dnia wniesienia pozwu).</w:t>
      </w:r>
    </w:p>
    <w:p>
      <w:pPr>
        <w:pStyle w:val="Compact"/>
        <w:numPr>
          <w:ilvl w:val="2"/>
          <w:numId w:val="1013"/>
        </w:numPr>
      </w:pPr>
      <w:r>
        <w:t xml:space="preserve">Wnioski dowodowe (dokumenty, świadkowie, ewentualnie wniosek o dopuszczenie dowodu z opinii biegłego rzeczoznawcy budowlanego).</w:t>
      </w:r>
    </w:p>
    <w:p>
      <w:pPr>
        <w:pStyle w:val="Compact"/>
        <w:numPr>
          <w:ilvl w:val="2"/>
          <w:numId w:val="1013"/>
        </w:numPr>
      </w:pPr>
      <w:r>
        <w:t xml:space="preserve">Wniosek o zabezpieczenie powództwa (np. zajęcie wierzytelności Dewelopera, wpis w KW).</w:t>
      </w:r>
    </w:p>
    <w:p>
      <w:pPr>
        <w:pStyle w:val="Compact"/>
        <w:numPr>
          <w:ilvl w:val="1"/>
          <w:numId w:val="1012"/>
        </w:numPr>
      </w:pPr>
      <w:r>
        <w:t xml:space="preserve">Wartość przedmiotu sporu powinna uwzględniać wszystkie dochodzone kwoty.</w:t>
      </w:r>
    </w:p>
    <w:p>
      <w:pPr>
        <w:pStyle w:val="Compact"/>
        <w:numPr>
          <w:ilvl w:val="1"/>
          <w:numId w:val="1012"/>
        </w:numPr>
      </w:pPr>
      <w:r>
        <w:rPr>
          <w:b/>
          <w:bCs/>
        </w:rPr>
        <w:t xml:space="preserve">Termin:</w:t>
      </w:r>
      <w:r>
        <w:t xml:space="preserve"> </w:t>
      </w:r>
      <w:r>
        <w:t xml:space="preserve">Niezwłocznie po upływie terminu z wezwania przedsądowego, a najpóźniej w ciągu 14-21 dni.</w:t>
      </w:r>
    </w:p>
    <w:p>
      <w:pPr>
        <w:pStyle w:val="Compact"/>
        <w:numPr>
          <w:ilvl w:val="0"/>
          <w:numId w:val="1008"/>
        </w:numPr>
      </w:pPr>
      <w:r>
        <w:rPr>
          <w:b/>
          <w:bCs/>
        </w:rPr>
        <w:t xml:space="preserve">Rozważenie zgłoszenia sprawy do Rzecznika Konsumentów/UOKiK:</w:t>
      </w:r>
    </w:p>
    <w:p>
      <w:pPr>
        <w:pStyle w:val="Compact"/>
        <w:numPr>
          <w:ilvl w:val="1"/>
          <w:numId w:val="1014"/>
        </w:numPr>
      </w:pPr>
      <w:r>
        <w:t xml:space="preserve">Może to stanowić dodatkowe wsparcie i presję na Dewelopera.</w:t>
      </w:r>
    </w:p>
    <w:p>
      <w:pPr>
        <w:pStyle w:val="Compact"/>
        <w:numPr>
          <w:ilvl w:val="1"/>
          <w:numId w:val="1014"/>
        </w:numPr>
      </w:pPr>
      <w:r>
        <w:rPr>
          <w:b/>
          <w:bCs/>
        </w:rPr>
        <w:t xml:space="preserve">Termin:</w:t>
      </w:r>
      <w:r>
        <w:t xml:space="preserve"> </w:t>
      </w:r>
      <w:r>
        <w:t xml:space="preserve">Można to zrobić równolegle z postępowaniem przedsądowym lub sądowym.</w:t>
      </w:r>
    </w:p>
    <w:bookmarkEnd w:id="19"/>
    <w:bookmarkEnd w:id="20"/>
    <w:bookmarkStart w:id="25" w:name="projekty-pism"/>
    <w:p>
      <w:pPr>
        <w:pStyle w:val="Heading2"/>
      </w:pPr>
      <w:r>
        <w:t xml:space="preserve">Projekty pism</w:t>
      </w:r>
    </w:p>
    <w:bookmarkStart w:id="21" w:name="opinia-prawna-dla-klienta-detailed-memo"/>
    <w:p>
      <w:pPr>
        <w:pStyle w:val="Heading3"/>
      </w:pPr>
      <w:r>
        <w:t xml:space="preserve">1. Opinia prawna dla Klienta (detailed memo)</w:t>
      </w:r>
    </w:p>
    <w:p>
      <w:pPr>
        <w:pStyle w:val="FirstParagraph"/>
      </w:pPr>
      <w:r>
        <w:t xml:space="preserve">Z uwagi na obszerność, opinia prawna dla Klienta została zawarta w powyższej analizie prawnej.</w:t>
      </w:r>
    </w:p>
    <w:bookmarkEnd w:id="21"/>
    <w:bookmarkStart w:id="22" w:name="Xd7407efdca9a43b5020478b093d0565ceb21f18"/>
    <w:p>
      <w:pPr>
        <w:pStyle w:val="Heading3"/>
      </w:pPr>
      <w:r>
        <w:t xml:space="preserve">2. Wezwanie przedsądowe uzupełnione / rozszerzone</w:t>
      </w:r>
    </w:p>
    <w:p>
      <w:pPr>
        <w:pStyle w:val="FirstParagraph"/>
      </w:pPr>
      <w:r>
        <w:rPr>
          <w:b/>
          <w:bCs/>
        </w:rPr>
        <w:t xml:space="preserve">Miejscowość, data:</w:t>
      </w:r>
      <w:r>
        <w:t xml:space="preserve"> </w:t>
      </w:r>
      <w:r>
        <w:t xml:space="preserve">Warszawa, 21 czerwca 2026 r.</w:t>
      </w:r>
    </w:p>
    <w:p>
      <w:pPr>
        <w:pStyle w:val="BodyText"/>
      </w:pPr>
      <w:r>
        <w:rPr>
          <w:b/>
          <w:bCs/>
        </w:rPr>
        <w:t xml:space="preserve">Odbiorca:</w:t>
      </w:r>
      <w:r>
        <w:t xml:space="preserve"> </w:t>
      </w:r>
      <w:r>
        <w:t xml:space="preserve">„NOVUM Inwestycje” Sp. z o.o.</w:t>
      </w:r>
      <w:r>
        <w:t xml:space="preserve"> </w:t>
      </w:r>
      <w:r>
        <w:t xml:space="preserve">KRS ██████████</w:t>
      </w:r>
      <w:r>
        <w:t xml:space="preserve"> </w:t>
      </w:r>
      <w:r>
        <w:t xml:space="preserve">ul. Przykładowa 1</w:t>
      </w:r>
      <w:r>
        <w:t xml:space="preserve"> </w:t>
      </w:r>
      <w:r>
        <w:t xml:space="preserve">00-001 Warszawa</w:t>
      </w:r>
    </w:p>
    <w:p>
      <w:pPr>
        <w:pStyle w:val="BodyText"/>
      </w:pPr>
      <w:r>
        <w:rPr>
          <w:b/>
          <w:bCs/>
        </w:rPr>
        <w:t xml:space="preserve">Nadawca:</w:t>
      </w:r>
      <w:r>
        <w:t xml:space="preserve"> </w:t>
      </w:r>
      <w:r>
        <w:t xml:space="preserve">Pan M. K.</w:t>
      </w:r>
      <w:r>
        <w:t xml:space="preserve"> </w:t>
      </w:r>
      <w:r>
        <w:t xml:space="preserve">PESEL ███████████</w:t>
      </w:r>
      <w:r>
        <w:t xml:space="preserve"> </w:t>
      </w:r>
      <w:r>
        <w:t xml:space="preserve">ul. Błękitna 3, lokal M-14</w:t>
      </w:r>
      <w:r>
        <w:t xml:space="preserve"> </w:t>
      </w:r>
      <w:r>
        <w:t xml:space="preserve">00-001 Warszawa</w:t>
      </w:r>
      <w:r>
        <w:t xml:space="preserve"> </w:t>
      </w:r>
      <w:r>
        <w:t xml:space="preserve">[adres do korespondencji, jeśli inny]</w:t>
      </w:r>
      <w:r>
        <w:t xml:space="preserve"> </w:t>
      </w:r>
      <w:r>
        <w:t xml:space="preserve">[numer telefonu]</w:t>
      </w:r>
      <w:r>
        <w:t xml:space="preserve"> </w:t>
      </w:r>
      <w:r>
        <w:t xml:space="preserve">[adres e-mail]</w:t>
      </w:r>
    </w:p>
    <w:p>
      <w:pPr>
        <w:pStyle w:val="BodyText"/>
      </w:pPr>
      <w:r>
        <w:rPr>
          <w:b/>
          <w:bCs/>
        </w:rPr>
        <w:t xml:space="preserve">WEZWANIE PRZEDSĄDOWE DO ZAPŁATY KAR UMOWNYCH, ODSZKODOWANIA ORAZ OKREŚLENIA TERMINU PRZEKAZANIA LOKALU</w:t>
      </w:r>
    </w:p>
    <w:p>
      <w:pPr>
        <w:pStyle w:val="BodyText"/>
      </w:pPr>
      <w:r>
        <w:rPr>
          <w:b/>
          <w:bCs/>
        </w:rPr>
        <w:t xml:space="preserve">Dotyczy:</w:t>
      </w:r>
      <w:r>
        <w:t xml:space="preserve"> </w:t>
      </w:r>
      <w:r>
        <w:t xml:space="preserve">Umowy deweloperskiej nr DEV/████/01 z dnia 10 stycznia 2024 r.</w:t>
      </w:r>
    </w:p>
    <w:p>
      <w:pPr>
        <w:pStyle w:val="BodyText"/>
      </w:pPr>
      <w:r>
        <w:t xml:space="preserve">Działając w imieniu własnym / Pana M. K., w nawiązaniu do zawartej w dniu 10 stycznia 2024 r. umowy deweloperskiej nr DEV/████/01, której przedmiotem jest nabycie lokalu mieszkalnego nr M-14 wraz z miejscem parkingowym P-2 przy Warszawa, oraz w związku z Państwa powtarzającym się opóźnieniem w przekazaniu lokalu, niniejszym wzywam Państwa do niezwłocznego uregulowania należności oraz podjęcia konkretnych działań, pod rygorem skierowania sprawy na drogę postępowania sądowego.</w:t>
      </w:r>
    </w:p>
    <w:p>
      <w:pPr>
        <w:pStyle w:val="BodyText"/>
      </w:pPr>
      <w:r>
        <w:rPr>
          <w:b/>
          <w:bCs/>
        </w:rPr>
        <w:t xml:space="preserve">I. Stan faktyczny i prawne podstawy roszczeń:</w:t>
      </w:r>
    </w:p>
    <w:p>
      <w:pPr>
        <w:pStyle w:val="BodyText"/>
      </w:pPr>
      <w:r>
        <w:t xml:space="preserve">Zgodnie z §7 ust. 1 Umowy, termin przekazania lokalu mieszkalnego nr M-14 został określony na dzień 30 września 2024 r. [Źródło 1]. Wbrew postanowieniom Umowy, lokal nie został przekazany w ustalonym terminie.</w:t>
      </w:r>
      <w:r>
        <w:t xml:space="preserve"> </w:t>
      </w:r>
      <w:r>
        <w:t xml:space="preserve">Pismem z dnia 25 września 2024 r. poinformowali Państwo o opóźnieniu i wskazali nowy termin na 31 grudnia 2024 r. [Źródło 1]. Termin ten również nie został dotrzymany. Pismem z dnia 31 grudnia 2024 r. poinformowali Państwo o dalszym, nieokreślonym terminie przekazania lokalu, ponownie żądając podpisania aneksu do umowy, w którym miałbym zaakceptować przesunięcie terminu, zrzec się roszczeń z tytułu kar umownych oraz przyjąć udział w dodatkowych kosztach w wysokości 20 000,00 PLN [Źródło 1]. Odmawiam podpisania tak sformułowanego aneksu, gdyż jego postanowienia są dla mnie rażąco niekorzystne i naruszają moje prawa jako konsumenta.</w:t>
      </w:r>
    </w:p>
    <w:p>
      <w:pPr>
        <w:pStyle w:val="BodyText"/>
      </w:pPr>
      <w:r>
        <w:t xml:space="preserve">Opóźnienie w przekazaniu lokalu trwa od 1 października 2024 r. do dnia dzisiejszego, tj. 21 czerwca 2026 r., co daje łącznie</w:t>
      </w:r>
      <w:r>
        <w:t xml:space="preserve"> </w:t>
      </w:r>
      <w:r>
        <w:rPr>
          <w:b/>
          <w:bCs/>
        </w:rPr>
        <w:t xml:space="preserve">630 dni opóźnienia</w:t>
      </w:r>
      <w:r>
        <w:t xml:space="preserve">.</w:t>
      </w:r>
    </w:p>
    <w:p>
      <w:pPr>
        <w:pStyle w:val="BodyText"/>
      </w:pPr>
      <w:r>
        <w:rPr>
          <w:b/>
          <w:bCs/>
        </w:rPr>
        <w:t xml:space="preserve">A. Kary umowne:</w:t>
      </w:r>
      <w:r>
        <w:t xml:space="preserve"> </w:t>
      </w:r>
      <w:r>
        <w:t xml:space="preserve">Zgodnie z §9 ust. 1 Umowy, zastrzeżona została kara umowna w wysokości 0,1% wartości umowy za każdy dzień opóźnienia w przekazaniu lokalu [Źródło 1]. Wartość umowy wynosi 548 000,00 PLN [Źródło 1].</w:t>
      </w:r>
      <w:r>
        <w:t xml:space="preserve"> </w:t>
      </w:r>
      <w:r>
        <w:t xml:space="preserve">Dzienna wysokość kary umownej wynosi 548 000,00 PLN * 0,1% = 548,00 PLN.</w:t>
      </w:r>
      <w:r>
        <w:t xml:space="preserve"> </w:t>
      </w:r>
      <w:r>
        <w:t xml:space="preserve">Łączna kwota kar umownych za okres od 1 października 2024 r. do 21 czerwca 2026 r. (630 dni) wynosi: 630 dni * 548,00 PLN =</w:t>
      </w:r>
      <w:r>
        <w:t xml:space="preserve"> </w:t>
      </w:r>
      <w:r>
        <w:rPr>
          <w:b/>
          <w:bCs/>
        </w:rPr>
        <w:t xml:space="preserve">345 240,00 PLN</w:t>
      </w:r>
      <w:r>
        <w:t xml:space="preserve">.</w:t>
      </w:r>
    </w:p>
    <w:p>
      <w:pPr>
        <w:pStyle w:val="BodyText"/>
      </w:pPr>
      <w:r>
        <w:t xml:space="preserve">Powołanie się przez Państwa na wyłączenia odpowiedzialności zawarte w §9 ust. 4 Umowy, dotyczące niedostępności materiałów i działań podwykonawców, jest bezskuteczne. Jako profesjonalny deweloper, są Państwo odpowiedzialni za prawidłową organizację procesu budowlanego, w tym za zapewnienie terminowych dostaw i właściwe wykonanie prac przez podwykonawców. Klauzule umowne, które przerzucają to ryzyko na Nabywcę-konsumenta, są rażąco sprzeczne z dobrymi obyczajami i naruszają moje interesy, stąd są abuzywne i niewiążące w rozumieniu art. 385¹ § 1 Kodeksu cywilnego.</w:t>
      </w:r>
    </w:p>
    <w:p>
      <w:pPr>
        <w:pStyle w:val="BodyText"/>
      </w:pPr>
      <w:r>
        <w:rPr>
          <w:b/>
          <w:bCs/>
        </w:rPr>
        <w:t xml:space="preserve">B. Odszkodowanie uzupełniające za koszty najmu zastępczego:</w:t>
      </w:r>
      <w:r>
        <w:t xml:space="preserve"> </w:t>
      </w:r>
      <w:r>
        <w:t xml:space="preserve">W związku z Państwa opóźnieniem byłem zmuszony do wynajmowania mieszkania zastępczego. Koszty najmu, udokumentowane załączonymi fakturami i potwierdzeniami przelewów, wyniosły dotychczas 31 200,00 PLN [Źródło 1]. Jest to bezpośrednia szkoda wynikająca z nienależytego wykonania przez Państwa zobowiązania, za którą ponoszą Państwo odpowiedzialność na podstawie art. 471 Kodeksu cywilnego.</w:t>
      </w:r>
    </w:p>
    <w:p>
      <w:pPr>
        <w:pStyle w:val="BodyText"/>
      </w:pPr>
      <w:r>
        <w:rPr>
          <w:b/>
          <w:bCs/>
        </w:rPr>
        <w:t xml:space="preserve">II. Żądania:</w:t>
      </w:r>
    </w:p>
    <w:p>
      <w:pPr>
        <w:pStyle w:val="BodyText"/>
      </w:pPr>
      <w:r>
        <w:t xml:space="preserve">Wobec powyższego, wzywam Państwa do:</w:t>
      </w:r>
    </w:p>
    <w:p>
      <w:pPr>
        <w:pStyle w:val="Compact"/>
        <w:numPr>
          <w:ilvl w:val="0"/>
          <w:numId w:val="1015"/>
        </w:numPr>
      </w:pPr>
      <w:r>
        <w:rPr>
          <w:b/>
          <w:bCs/>
        </w:rPr>
        <w:t xml:space="preserve">Zapłaty kwoty 345 240,00 PLN (słownie: trzysta czterdzieści pięć tysięcy dwieście czterdzieści złotych 00/100)</w:t>
      </w:r>
      <w:r>
        <w:t xml:space="preserve"> </w:t>
      </w:r>
      <w:r>
        <w:t xml:space="preserve">tytułem należnych kar umownych za okres od 1 października 2024 r. do 21 czerwca 2026 r. [Źródło 1], wraz z odsetkami ustawowymi za opóźnienie, naliczanymi od każdej dziennej kwoty kary umownej od dnia następnego po dniu, za który kara jest należna, do dnia zapłaty.</w:t>
      </w:r>
    </w:p>
    <w:p>
      <w:pPr>
        <w:pStyle w:val="Compact"/>
        <w:numPr>
          <w:ilvl w:val="0"/>
          <w:numId w:val="1015"/>
        </w:numPr>
      </w:pPr>
      <w:r>
        <w:rPr>
          <w:b/>
          <w:bCs/>
        </w:rPr>
        <w:t xml:space="preserve">Zapłaty kwoty 31 200,00 PLN (słownie: trzydzieści jeden tysięcy dwieście złotych 00/100)</w:t>
      </w:r>
      <w:r>
        <w:t xml:space="preserve"> </w:t>
      </w:r>
      <w:r>
        <w:t xml:space="preserve">tytułem odszkodowania za poniesione koszty najmu mieszkania zastępczego [Źródło 1], wraz z odsetkami ustawowymi za opóźnienie od dnia 10 października 2024 r. (tj. daty pierwotnego wezwania do zapłaty kar umownych) do dnia zapłaty.</w:t>
      </w:r>
    </w:p>
    <w:p>
      <w:pPr>
        <w:pStyle w:val="Compact"/>
        <w:numPr>
          <w:ilvl w:val="0"/>
          <w:numId w:val="1015"/>
        </w:numPr>
      </w:pPr>
      <w:r>
        <w:rPr>
          <w:b/>
          <w:bCs/>
        </w:rPr>
        <w:t xml:space="preserve">Niezwłocznego określenia realnego i wiążącego terminu przekazania lokalu</w:t>
      </w:r>
      <w:r>
        <w:t xml:space="preserve"> </w:t>
      </w:r>
      <w:r>
        <w:t xml:space="preserve">oraz przedstawienia szczegółowego harmonogramu prac zmierzających do usunięcia opóźnień, nie później niż w terminie 7 (siedmiu) dni od daty otrzymania niniejszego wezwania.</w:t>
      </w:r>
    </w:p>
    <w:p>
      <w:pPr>
        <w:pStyle w:val="Compact"/>
        <w:numPr>
          <w:ilvl w:val="0"/>
          <w:numId w:val="1015"/>
        </w:numPr>
      </w:pPr>
      <w:r>
        <w:rPr>
          <w:b/>
          <w:bCs/>
        </w:rPr>
        <w:t xml:space="preserve">Zaniechania żądania podpisania aneksu</w:t>
      </w:r>
      <w:r>
        <w:t xml:space="preserve"> </w:t>
      </w:r>
      <w:r>
        <w:t xml:space="preserve">w dotychczas proponowanej formie, gdyż jego treść jest rażąco niekorzystna i narusza moje prawa konsumenckie.</w:t>
      </w:r>
    </w:p>
    <w:p>
      <w:pPr>
        <w:pStyle w:val="FirstParagraph"/>
      </w:pPr>
      <w:r>
        <w:rPr>
          <w:b/>
          <w:bCs/>
        </w:rPr>
        <w:t xml:space="preserve">III. Termin płatności i skutki braku działań:</w:t>
      </w:r>
    </w:p>
    <w:p>
      <w:pPr>
        <w:pStyle w:val="BodyText"/>
      </w:pPr>
      <w:r>
        <w:t xml:space="preserve">Całkowita kwota należności, obejmująca kary umowne i odszkodowanie, wynosi</w:t>
      </w:r>
      <w:r>
        <w:t xml:space="preserve"> </w:t>
      </w:r>
      <w:r>
        <w:rPr>
          <w:b/>
          <w:bCs/>
        </w:rPr>
        <w:t xml:space="preserve">376 440,00 PLN (słownie: trzysta siedemdziesiąt sześć tysięcy czterysta czterdzieści złotych 00/100)</w:t>
      </w:r>
      <w:r>
        <w:t xml:space="preserve">.</w:t>
      </w:r>
      <w:r>
        <w:t xml:space="preserve"> </w:t>
      </w:r>
      <w:r>
        <w:t xml:space="preserve">Wzywam Państwa do zapłaty powyższej kwoty oraz podjęcia wskazanych działań w terminie</w:t>
      </w:r>
      <w:r>
        <w:t xml:space="preserve"> </w:t>
      </w:r>
      <w:r>
        <w:rPr>
          <w:b/>
          <w:bCs/>
        </w:rPr>
        <w:t xml:space="preserve">7 (siedmiu) dni</w:t>
      </w:r>
      <w:r>
        <w:t xml:space="preserve"> </w:t>
      </w:r>
      <w:r>
        <w:t xml:space="preserve">od daty otrzymania niniejszego wezwania na rachunek bankowy: [numer rachunku bankowego Klienta].</w:t>
      </w:r>
    </w:p>
    <w:p>
      <w:pPr>
        <w:pStyle w:val="BodyText"/>
      </w:pPr>
      <w:r>
        <w:t xml:space="preserve">W przypadku bezskutecznego upływu wskazanego terminu, zmuszony będę do skierowania sprawy na drogę postępowania sądowego, co wiązać się będzie z koniecznością poniesienia przez Państwa dodatkowych kosztów sądowych i kosztów zastępstwa procesowego. Ponadto, w toku postępowania sądowego zostanie złożony wniosek o zabezpieczenie powództwa, celem ochrony moich praw i interesów.</w:t>
      </w:r>
    </w:p>
    <w:p>
      <w:pPr>
        <w:pStyle w:val="BodyText"/>
      </w:pPr>
      <w:r>
        <w:t xml:space="preserve">Jednocześnie informuję, że w przypadku dalszej zwłoki w przekazaniu lokalu, rozważam odstąpienie od umowy deweloperskiej na podstawie art. 491 Kodeksu cywilnego, co skutkować będzie żądaniem zwrotu wszystkich wpłaconych środków w kwocie 374 000,00 PLN [Źródło 1] wraz z odsetkami oraz naprawienia dalszych szkód.</w:t>
      </w:r>
    </w:p>
    <w:p>
      <w:pPr>
        <w:pStyle w:val="BodyText"/>
      </w:pPr>
      <w:r>
        <w:t xml:space="preserve">Z poważaniem,</w:t>
      </w:r>
    </w:p>
    <w:p>
      <w:pPr>
        <w:pStyle w:val="BodyText"/>
      </w:pPr>
      <w:r>
        <w:t xml:space="preserve">M. K.</w:t>
      </w:r>
    </w:p>
    <w:p>
      <w:pPr>
        <w:pStyle w:val="BodyText"/>
      </w:pPr>
      <w:r>
        <w:rPr>
          <w:b/>
          <w:bCs/>
        </w:rPr>
        <w:t xml:space="preserve">Załączniki:</w:t>
      </w:r>
      <w:r>
        <w:t xml:space="preserve"> </w:t>
      </w:r>
      <w:r>
        <w:t xml:space="preserve">1. Kopie korespondencji z „NOVUM Inwestycje” Sp. z o.o.</w:t>
      </w:r>
      <w:r>
        <w:t xml:space="preserve"> </w:t>
      </w:r>
      <w:r>
        <w:t xml:space="preserve">2. Kopie potwierdzeń wpłat na rzecz Dewelopera.</w:t>
      </w:r>
      <w:r>
        <w:t xml:space="preserve"> </w:t>
      </w:r>
      <w:r>
        <w:t xml:space="preserve">3. Kopie umowy najmu mieszkania zastępczego.</w:t>
      </w:r>
      <w:r>
        <w:t xml:space="preserve"> </w:t>
      </w:r>
      <w:r>
        <w:t xml:space="preserve">4. Kopie faktur i potwierdzeń przelewów za najem mieszkania zastępczego.</w:t>
      </w:r>
    </w:p>
    <w:p>
      <w:r>
        <w:pict>
          <v:rect style="width:0;height:1.5pt" o:hralign="center" o:hrstd="t" o:hr="t"/>
        </w:pict>
      </w:r>
    </w:p>
    <w:bookmarkEnd w:id="22"/>
    <w:bookmarkStart w:id="23" w:name="X961511711c5f4b2fc85d1bf866dd82ac5ed44e8"/>
    <w:p>
      <w:pPr>
        <w:pStyle w:val="Heading3"/>
      </w:pPr>
      <w:r>
        <w:t xml:space="preserve">3. Pozew do Sądu Rejonowego o zapłatę kar umownych i odszkodowania uzupełniającego + wniosek o zabezpieczenie powództwa</w:t>
      </w:r>
    </w:p>
    <w:p>
      <w:pPr>
        <w:pStyle w:val="FirstParagraph"/>
      </w:pPr>
      <w:r>
        <w:rPr>
          <w:b/>
          <w:bCs/>
        </w:rPr>
        <w:t xml:space="preserve">Miejscowość, data:</w:t>
      </w:r>
      <w:r>
        <w:t xml:space="preserve"> </w:t>
      </w:r>
      <w:r>
        <w:t xml:space="preserve">Warszawa, 29 czerwca 2026 r.</w:t>
      </w:r>
    </w:p>
    <w:p>
      <w:pPr>
        <w:pStyle w:val="BodyText"/>
      </w:pPr>
      <w:r>
        <w:rPr>
          <w:b/>
          <w:bCs/>
        </w:rPr>
        <w:t xml:space="preserve">Sąd:</w:t>
      </w:r>
      <w:r>
        <w:t xml:space="preserve"> </w:t>
      </w:r>
      <w:r>
        <w:t xml:space="preserve">Sąd Rejonowy dla Warszawy-Śródmieścia w Warszawie</w:t>
      </w:r>
      <w:r>
        <w:t xml:space="preserve"> </w:t>
      </w:r>
      <w:r>
        <w:t xml:space="preserve">Wydział Cywilny</w:t>
      </w:r>
      <w:r>
        <w:t xml:space="preserve"> </w:t>
      </w:r>
      <w:r>
        <w:t xml:space="preserve">ul. Marszałkowska 82</w:t>
      </w:r>
      <w:r>
        <w:t xml:space="preserve"> </w:t>
      </w:r>
      <w:r>
        <w:t xml:space="preserve">00-517 Warszawa</w:t>
      </w:r>
    </w:p>
    <w:p>
      <w:pPr>
        <w:pStyle w:val="BodyText"/>
      </w:pPr>
      <w:r>
        <w:rPr>
          <w:b/>
          <w:bCs/>
        </w:rPr>
        <w:t xml:space="preserve">Powód:</w:t>
      </w:r>
      <w:r>
        <w:t xml:space="preserve"> </w:t>
      </w:r>
      <w:r>
        <w:t xml:space="preserve">Pan M. K.</w:t>
      </w:r>
      <w:r>
        <w:t xml:space="preserve"> </w:t>
      </w:r>
      <w:r>
        <w:t xml:space="preserve">PESEL ███████████</w:t>
      </w:r>
      <w:r>
        <w:t xml:space="preserve"> </w:t>
      </w:r>
      <w:r>
        <w:t xml:space="preserve">ul. Błękitna 3, lokal M-14</w:t>
      </w:r>
      <w:r>
        <w:t xml:space="preserve"> </w:t>
      </w:r>
      <w:r>
        <w:t xml:space="preserve">00-001 Warszawa</w:t>
      </w:r>
      <w:r>
        <w:t xml:space="preserve"> </w:t>
      </w:r>
      <w:r>
        <w:t xml:space="preserve">[adres do korespondencji, jeśli inny]</w:t>
      </w:r>
      <w:r>
        <w:t xml:space="preserve"> </w:t>
      </w:r>
      <w:r>
        <w:t xml:space="preserve">[numer telefonu]</w:t>
      </w:r>
      <w:r>
        <w:t xml:space="preserve"> </w:t>
      </w:r>
      <w:r>
        <w:t xml:space="preserve">[adres e-mail]</w:t>
      </w:r>
    </w:p>
    <w:p>
      <w:pPr>
        <w:pStyle w:val="BodyText"/>
      </w:pPr>
      <w:r>
        <w:rPr>
          <w:b/>
          <w:bCs/>
        </w:rPr>
        <w:t xml:space="preserve">Pozwany:</w:t>
      </w:r>
      <w:r>
        <w:t xml:space="preserve"> </w:t>
      </w:r>
      <w:r>
        <w:t xml:space="preserve">„NOVUM Inwestycje” Sp. z o.o.</w:t>
      </w:r>
      <w:r>
        <w:t xml:space="preserve"> </w:t>
      </w:r>
      <w:r>
        <w:t xml:space="preserve">KRS ██████████</w:t>
      </w:r>
      <w:r>
        <w:t xml:space="preserve"> </w:t>
      </w:r>
      <w:r>
        <w:t xml:space="preserve">ul. Przykładowa 1</w:t>
      </w:r>
      <w:r>
        <w:t xml:space="preserve"> </w:t>
      </w:r>
      <w:r>
        <w:t xml:space="preserve">00-001 Warszawa</w:t>
      </w:r>
    </w:p>
    <w:p>
      <w:pPr>
        <w:pStyle w:val="BodyText"/>
      </w:pPr>
      <w:r>
        <w:rPr>
          <w:b/>
          <w:bCs/>
        </w:rPr>
        <w:t xml:space="preserve">Wartość Przedmiotu Sporu (WPS):</w:t>
      </w:r>
      <w:r>
        <w:t xml:space="preserve"> </w:t>
      </w:r>
      <w:r>
        <w:t xml:space="preserve">376 440,00 PLN</w:t>
      </w:r>
    </w:p>
    <w:p>
      <w:pPr>
        <w:pStyle w:val="BodyText"/>
      </w:pPr>
      <w:r>
        <w:rPr>
          <w:b/>
          <w:bCs/>
        </w:rPr>
        <w:t xml:space="preserve">OPŁATA SĄDOWA:</w:t>
      </w:r>
      <w:r>
        <w:t xml:space="preserve"> </w:t>
      </w:r>
      <w:r>
        <w:t xml:space="preserve">18 822,00 PLN (5% WPS)</w:t>
      </w:r>
    </w:p>
    <w:p>
      <w:pPr>
        <w:pStyle w:val="BodyText"/>
      </w:pPr>
      <w:r>
        <w:rPr>
          <w:b/>
          <w:bCs/>
        </w:rPr>
        <w:t xml:space="preserve">POZEW O ZAPŁATĘ KAR UMOWNYCH I ODSZKODOWANIA UZUPEŁNIAJĄCEGO</w:t>
      </w:r>
      <w:r>
        <w:rPr>
          <w:b/>
          <w:bCs/>
        </w:rPr>
        <w:t xml:space="preserve"> </w:t>
      </w:r>
      <w:r>
        <w:rPr>
          <w:b/>
          <w:bCs/>
        </w:rPr>
        <w:t xml:space="preserve">WRAZ Z WNIOSKIEM O ZABEZPIECZENIE POWÓDZTWA</w:t>
      </w:r>
    </w:p>
    <w:p>
      <w:pPr>
        <w:pStyle w:val="BodyText"/>
      </w:pPr>
      <w:r>
        <w:rPr>
          <w:b/>
          <w:bCs/>
        </w:rPr>
        <w:t xml:space="preserve">I. Żądanie pozwu:</w:t>
      </w:r>
    </w:p>
    <w:p>
      <w:pPr>
        <w:pStyle w:val="BodyText"/>
      </w:pPr>
      <w:r>
        <w:t xml:space="preserve">Wnoszę o:</w:t>
      </w:r>
    </w:p>
    <w:p>
      <w:pPr>
        <w:pStyle w:val="Compact"/>
        <w:numPr>
          <w:ilvl w:val="0"/>
          <w:numId w:val="1016"/>
        </w:numPr>
      </w:pPr>
      <w:r>
        <w:t xml:space="preserve">Zasądzenie od Pozwanego „NOVUM Inwestycje” Sp. z o.o. na rzecz Powoda Pana M. K. kwoty</w:t>
      </w:r>
      <w:r>
        <w:t xml:space="preserve"> </w:t>
      </w:r>
      <w:r>
        <w:rPr>
          <w:b/>
          <w:bCs/>
        </w:rPr>
        <w:t xml:space="preserve">345 240,00 PLN (słownie: trzysta czterdzieści pięć tysięcy dwieście czterdzieści złotych 00/100)</w:t>
      </w:r>
      <w:r>
        <w:t xml:space="preserve"> </w:t>
      </w:r>
      <w:r>
        <w:t xml:space="preserve">tytułem kar umownych za opóźnienie w przekazaniu lokalu mieszkalnego nr M-14 wraz z miejscem parkingowym P-2, za okres od 1 października 2024 r. do 21 czerwca 2026 r. [Źródło 1], wraz z odsetkami ustawowymi za opóźnienie od każdej dziennej kwoty kary umownej, naliczanymi od dnia następnego po dniu, za który kara jest należna, do dnia zapłaty.</w:t>
      </w:r>
    </w:p>
    <w:p>
      <w:pPr>
        <w:pStyle w:val="Compact"/>
        <w:numPr>
          <w:ilvl w:val="0"/>
          <w:numId w:val="1016"/>
        </w:numPr>
      </w:pPr>
      <w:r>
        <w:t xml:space="preserve">Zasądzenie od Pozwanego na rzecz Powoda kwoty</w:t>
      </w:r>
      <w:r>
        <w:t xml:space="preserve"> </w:t>
      </w:r>
      <w:r>
        <w:rPr>
          <w:b/>
          <w:bCs/>
        </w:rPr>
        <w:t xml:space="preserve">31 200,00 PLN (słownie: trzydzieści jeden tysięcy dwieście złotych 00/100)</w:t>
      </w:r>
      <w:r>
        <w:t xml:space="preserve"> </w:t>
      </w:r>
      <w:r>
        <w:t xml:space="preserve">tytułem odszkodowania za koszty najmu mieszkania zastępczego za okres opóźnienia do dnia wniesienia pozwu [Źródło 1], wraz z odsetkami ustawowymi za opóźnienie od dnia 10 października 2024 r. do dnia zapłaty.</w:t>
      </w:r>
    </w:p>
    <w:p>
      <w:pPr>
        <w:pStyle w:val="Compact"/>
        <w:numPr>
          <w:ilvl w:val="0"/>
          <w:numId w:val="1016"/>
        </w:numPr>
      </w:pPr>
      <w:r>
        <w:t xml:space="preserve">Zasądzenie od Pozwanego na rzecz Powoda kosztów postępowania, w tym kosztów zastępstwa procesowego, według norm przepisanych.</w:t>
      </w:r>
    </w:p>
    <w:p>
      <w:pPr>
        <w:pStyle w:val="FirstParagraph"/>
      </w:pPr>
      <w:r>
        <w:rPr>
          <w:b/>
          <w:bCs/>
        </w:rPr>
        <w:t xml:space="preserve">II. Wniosek o zabezpieczenie powództwa:</w:t>
      </w:r>
    </w:p>
    <w:p>
      <w:pPr>
        <w:pStyle w:val="BodyText"/>
      </w:pPr>
      <w:r>
        <w:t xml:space="preserve">Na podstawie art. 730 § 1 i art. 730¹ § 1 i 2 Kodeksu postępowania cywilnego, wnoszę o udzielenie zabezpieczenia powództwa poprzez:</w:t>
      </w:r>
    </w:p>
    <w:p>
      <w:pPr>
        <w:pStyle w:val="Compact"/>
        <w:numPr>
          <w:ilvl w:val="0"/>
          <w:numId w:val="1017"/>
        </w:numPr>
      </w:pPr>
      <w:r>
        <w:rPr>
          <w:b/>
          <w:bCs/>
        </w:rPr>
        <w:t xml:space="preserve">Zajęcie wierzytelności</w:t>
      </w:r>
      <w:r>
        <w:t xml:space="preserve"> </w:t>
      </w:r>
      <w:r>
        <w:t xml:space="preserve">Pozwanego „NOVUM Inwestycje” Sp. z o.o. z rachunków bankowych prowadzonych w [nazwa banku Pozwanego, jeśli znany] do kwoty</w:t>
      </w:r>
      <w:r>
        <w:t xml:space="preserve"> </w:t>
      </w:r>
      <w:r>
        <w:rPr>
          <w:b/>
          <w:bCs/>
        </w:rPr>
        <w:t xml:space="preserve">376 440,00 PLN (słownie: trzysta siedemdziesiąt sześć tysięcy czterysta czterdzieści złotych 00/100)</w:t>
      </w:r>
      <w:r>
        <w:t xml:space="preserve"> </w:t>
      </w:r>
      <w:r>
        <w:t xml:space="preserve">wraz z odsetkami i kosztami postępowania, tytułem zabezpieczenia roszczeń Powoda.</w:t>
      </w:r>
    </w:p>
    <w:p>
      <w:pPr>
        <w:pStyle w:val="Compact"/>
        <w:numPr>
          <w:ilvl w:val="0"/>
          <w:numId w:val="1017"/>
        </w:numPr>
      </w:pPr>
      <w:r>
        <w:rPr>
          <w:b/>
          <w:bCs/>
        </w:rPr>
        <w:t xml:space="preserve">Ustanowienie hipoteki przymusowej</w:t>
      </w:r>
      <w:r>
        <w:t xml:space="preserve"> </w:t>
      </w:r>
      <w:r>
        <w:t xml:space="preserve">na nieruchomości Pozwanego, położonej w Warszawie, przy ul. Przykładowej 1, dla której Sąd Rejonowy dla [nazwa właściwego sądu wieczystoksięgowego] prowadzi księgę wieczystą nr [numer księgi wieczystej], do kwoty</w:t>
      </w:r>
      <w:r>
        <w:t xml:space="preserve"> </w:t>
      </w:r>
      <w:r>
        <w:rPr>
          <w:b/>
          <w:bCs/>
        </w:rPr>
        <w:t xml:space="preserve">376 440,00 PLN (słownie: trzysta siedemdziesiąt sześć tysięcy czterysta czterdzieści złotych 00/100)</w:t>
      </w:r>
      <w:r>
        <w:t xml:space="preserve"> </w:t>
      </w:r>
      <w:r>
        <w:t xml:space="preserve">wraz z odsetkami i kosztami postępowania.</w:t>
      </w:r>
    </w:p>
    <w:p>
      <w:pPr>
        <w:pStyle w:val="FirstParagraph"/>
      </w:pPr>
      <w:r>
        <w:rPr>
          <w:b/>
          <w:bCs/>
        </w:rPr>
        <w:t xml:space="preserve">Uzasadnienie wniosku o zabezpieczenie:</w:t>
      </w:r>
      <w:r>
        <w:t xml:space="preserve"> </w:t>
      </w:r>
      <w:r>
        <w:t xml:space="preserve">Roszczenie Powoda jest uprawdopodobnione, co szczegółowo zostanie przedstawione w uzasadnieniu pozwu. Brak zabezpieczenia grozi niemożliwością lub znacznym utrudnieniem egzekucji w przyszłości, zważywszy na fakt, że Pozwany odmawia spełnienia roszczeń Powoda i próbuje przerzucić na niego nieuzasadnione koszty. Deweloper operuje na rynku nieruchomości, co wiąże się z płynnością majątku, a brak zabezpieczenia może doprowadzić do ukrycia aktywów przed potencjalną egzekucją.</w:t>
      </w:r>
    </w:p>
    <w:p>
      <w:pPr>
        <w:pStyle w:val="BodyText"/>
      </w:pPr>
      <w:r>
        <w:rPr>
          <w:b/>
          <w:bCs/>
        </w:rPr>
        <w:t xml:space="preserve">III. Uzasadnienie:</w:t>
      </w:r>
    </w:p>
    <w:p>
      <w:pPr>
        <w:pStyle w:val="BodyText"/>
      </w:pPr>
      <w:r>
        <w:t xml:space="preserve">[Tutaj należy wstawić szczegółowe uzasadnienie, które w dużej mierze pokrywa się z sekcją „Ocena prawna” niniejszej opinii, z odniesieniem do konkretnych przepisów i dowodów. W skrócie:]</w:t>
      </w:r>
    </w:p>
    <w:p>
      <w:pPr>
        <w:pStyle w:val="Compact"/>
        <w:numPr>
          <w:ilvl w:val="0"/>
          <w:numId w:val="1018"/>
        </w:numPr>
      </w:pPr>
      <w:r>
        <w:rPr>
          <w:b/>
          <w:bCs/>
        </w:rPr>
        <w:t xml:space="preserve">Strony Umowy i przedmiot sporu:</w:t>
      </w:r>
      <w:r>
        <w:t xml:space="preserve"> </w:t>
      </w:r>
      <w:r>
        <w:t xml:space="preserve">Powód zawarł z Pozwanym umowę deweloperską DEV/████/01 z dnia 10 stycznia 2024 r. na zakup lokalu mieszkalnego nr M-14 i miejsca parkingowego P-2 przy Warszawa [Źródło 1]. Wpłacił na poczet umowy 374 000,00 PLN [Źródło 1].</w:t>
      </w:r>
    </w:p>
    <w:p>
      <w:pPr>
        <w:pStyle w:val="Compact"/>
        <w:numPr>
          <w:ilvl w:val="0"/>
          <w:numId w:val="1018"/>
        </w:numPr>
      </w:pPr>
      <w:r>
        <w:rPr>
          <w:b/>
          <w:bCs/>
        </w:rPr>
        <w:t xml:space="preserve">Opóźnienie Pozwanego:</w:t>
      </w:r>
      <w:r>
        <w:t xml:space="preserve"> </w:t>
      </w:r>
      <w:r>
        <w:t xml:space="preserve">Pierwotny termin przekazania lokalu (30 września 2024 r. [Źródło 1]) nie został dotrzymany. Pozwany informował o opóźnieniu, wskazując na 31 grudnia 2024 r., a następnie o nieokreślonym terminie [Źródło 1]. Opóźnienie trwa nieprzerwanie od 1 października 2024 r.</w:t>
      </w:r>
    </w:p>
    <w:p>
      <w:pPr>
        <w:pStyle w:val="Compact"/>
        <w:numPr>
          <w:ilvl w:val="0"/>
          <w:numId w:val="1018"/>
        </w:numPr>
      </w:pPr>
      <w:r>
        <w:rPr>
          <w:b/>
          <w:bCs/>
        </w:rPr>
        <w:t xml:space="preserve">Kary umowne:</w:t>
      </w:r>
      <w:r>
        <w:t xml:space="preserve"> </w:t>
      </w:r>
      <w:r>
        <w:t xml:space="preserve">Zgodnie z §9 ust. 1 Umowy, Powodowi przysługuje kara umowna w wysokości 0,1% wartości umowy (548 000,00 PLN) za każdy dzień opóźnienia [Źródło 1]. Na dzień wniesienia pozwu (29 czerwca 2026 r.) opóźnienie wynosi 630 dni, co daje kwotę 345 240,00 PLN.</w:t>
      </w:r>
    </w:p>
    <w:p>
      <w:pPr>
        <w:pStyle w:val="Compact"/>
        <w:numPr>
          <w:ilvl w:val="0"/>
          <w:numId w:val="1018"/>
        </w:numPr>
      </w:pPr>
      <w:r>
        <w:rPr>
          <w:b/>
          <w:bCs/>
        </w:rPr>
        <w:t xml:space="preserve">Bezskuteczność klauzul wyłączających odpowiedzialność:</w:t>
      </w:r>
      <w:r>
        <w:t xml:space="preserve"> </w:t>
      </w:r>
      <w:r>
        <w:t xml:space="preserve">Pozwany powołuje się na §9 ust. 4 Umowy, wyłączający jego odpowiedzialność za opóźnienia wynikające z niedostępności materiałów i działań podwykonawców [Źródło 1]. Postanowienia te są abuzywne w świetle art. 385¹ § 1 Kodeksu cywilnego, jako że rażąco naruszają interesy konsumenta i sprzeczne są z dobrymi obyczajami. Odpowiedzialność za organizację budowy i współpracę z podwykonawcami spoczywa na Deweloperze.</w:t>
      </w:r>
    </w:p>
    <w:p>
      <w:pPr>
        <w:pStyle w:val="Compact"/>
        <w:numPr>
          <w:ilvl w:val="0"/>
          <w:numId w:val="1018"/>
        </w:numPr>
      </w:pPr>
      <w:r>
        <w:rPr>
          <w:b/>
          <w:bCs/>
        </w:rPr>
        <w:t xml:space="preserve">Odszkodowanie za koszty najmu zastępczego:</w:t>
      </w:r>
      <w:r>
        <w:t xml:space="preserve"> </w:t>
      </w:r>
      <w:r>
        <w:t xml:space="preserve">Z uwagi na opóźnienie, Powód zmuszony jest ponosić koszty najmu mieszkania zastępczego, które do dnia wniesienia pozwu wyniosły 31 200,00 PLN [Źródło 1]. Jest to szkoda wynikająca z nienależytego wykonania zobowiązania przez Pozwanego (art. 471 KC).</w:t>
      </w:r>
    </w:p>
    <w:p>
      <w:pPr>
        <w:pStyle w:val="Compact"/>
        <w:numPr>
          <w:ilvl w:val="0"/>
          <w:numId w:val="1018"/>
        </w:numPr>
      </w:pPr>
      <w:r>
        <w:rPr>
          <w:b/>
          <w:bCs/>
        </w:rPr>
        <w:t xml:space="preserve">Wezwanie przedsądowe:</w:t>
      </w:r>
      <w:r>
        <w:t xml:space="preserve"> </w:t>
      </w:r>
      <w:r>
        <w:t xml:space="preserve">Powód bezskutecznie wezwał Pozwanego do zapłaty należności i podjęcia działań pismem z dnia 21 czerwca 2026 r. (dołączyć kopię wezwania i potwierdzenie nadania/doręczenia). Pozwany nie ustosunkował się do wezwania w wyznaczonym terminie, co uzasadnia skierowanie sprawy na drogę sądową (art. 187 § 1 pkt 3 KPC).</w:t>
      </w:r>
    </w:p>
    <w:p>
      <w:pPr>
        <w:pStyle w:val="FirstParagraph"/>
      </w:pPr>
      <w:r>
        <w:rPr>
          <w:b/>
          <w:bCs/>
        </w:rPr>
        <w:t xml:space="preserve">IV. Wnioski dowodowe:</w:t>
      </w:r>
    </w:p>
    <w:p>
      <w:pPr>
        <w:pStyle w:val="Compact"/>
        <w:numPr>
          <w:ilvl w:val="0"/>
          <w:numId w:val="1019"/>
        </w:numPr>
      </w:pPr>
      <w:r>
        <w:rPr>
          <w:b/>
          <w:bCs/>
        </w:rPr>
        <w:t xml:space="preserve">Dowód z dokumentów:</w:t>
      </w:r>
    </w:p>
    <w:p>
      <w:pPr>
        <w:pStyle w:val="Compact"/>
        <w:numPr>
          <w:ilvl w:val="1"/>
          <w:numId w:val="1020"/>
        </w:numPr>
      </w:pPr>
      <w:r>
        <w:t xml:space="preserve">Kopia umowy deweloperskiej nr DEV/████/01 z dnia 10 stycznia 2024 r. [Źródło 1] – na okoliczność treści umowy, ustalonych terminów i klauzul umownych.</w:t>
      </w:r>
    </w:p>
    <w:p>
      <w:pPr>
        <w:pStyle w:val="Compact"/>
        <w:numPr>
          <w:ilvl w:val="1"/>
          <w:numId w:val="1020"/>
        </w:numPr>
      </w:pPr>
      <w:r>
        <w:t xml:space="preserve">Kopie potwierdzeń wpłat na rzecz Pozwanego – na okoliczność spełnienia świadczenia przez Powoda.</w:t>
      </w:r>
    </w:p>
    <w:p>
      <w:pPr>
        <w:pStyle w:val="Compact"/>
        <w:numPr>
          <w:ilvl w:val="1"/>
          <w:numId w:val="1020"/>
        </w:numPr>
      </w:pPr>
      <w:r>
        <w:t xml:space="preserve">Kopie korespondencji z Pozwanym (informacje o opóźnieniach z 25.09.2024 r. i 31.12.2024 r., odmowa zapłaty kar z 05.11.2024 r., wezwania do zapłaty) [Źródło 1] – na okoliczność opóźnień, wezwania do zapłaty i stanowiska stron.</w:t>
      </w:r>
    </w:p>
    <w:p>
      <w:pPr>
        <w:pStyle w:val="Compact"/>
        <w:numPr>
          <w:ilvl w:val="1"/>
          <w:numId w:val="1020"/>
        </w:numPr>
      </w:pPr>
      <w:r>
        <w:t xml:space="preserve">Kopia umowy najmu mieszkania zastępczego, faktury/rachunki za najem, potwierdzenia przelewów – na okoliczność poniesienia kosztów najmu zastępczego i ich wysokości [Źródło 2].</w:t>
      </w:r>
    </w:p>
    <w:p>
      <w:pPr>
        <w:pStyle w:val="Compact"/>
        <w:numPr>
          <w:ilvl w:val="1"/>
          <w:numId w:val="1020"/>
        </w:numPr>
      </w:pPr>
      <w:r>
        <w:t xml:space="preserve">Kopia wezwania przedsądowego z dnia 21 czerwca 2026 r. wraz z potwierdzeniem nadania/doręczenia – na okoliczność podjęcia próby pozasądowego rozwiązania sporu i braku reakcji Pozwanego.</w:t>
      </w:r>
    </w:p>
    <w:p>
      <w:pPr>
        <w:pStyle w:val="Compact"/>
        <w:numPr>
          <w:ilvl w:val="0"/>
          <w:numId w:val="1019"/>
        </w:numPr>
      </w:pPr>
      <w:r>
        <w:rPr>
          <w:b/>
          <w:bCs/>
        </w:rPr>
        <w:t xml:space="preserve">Dowód z przesłuchania świadków:</w:t>
      </w:r>
    </w:p>
    <w:p>
      <w:pPr>
        <w:pStyle w:val="Compact"/>
        <w:numPr>
          <w:ilvl w:val="1"/>
          <w:numId w:val="1021"/>
        </w:numPr>
      </w:pPr>
      <w:r>
        <w:t xml:space="preserve">[Ewentualni świadkowie, np. sąsiedzi, pracownicy budowy, osoby z firmy podwykonawczej, którzy mogą potwierdzić okoliczności opóźnień lub brak rzeczywistych przeszkód w realizacji budowy].</w:t>
      </w:r>
    </w:p>
    <w:p>
      <w:pPr>
        <w:pStyle w:val="Compact"/>
        <w:numPr>
          <w:ilvl w:val="1"/>
          <w:numId w:val="1021"/>
        </w:numPr>
      </w:pPr>
      <w:r>
        <w:t xml:space="preserve">Wnoszę o wezwanie do udziału w rozprawie świadków:</w:t>
      </w:r>
    </w:p>
    <w:p>
      <w:pPr>
        <w:pStyle w:val="Compact"/>
        <w:numPr>
          <w:ilvl w:val="2"/>
          <w:numId w:val="1022"/>
        </w:numPr>
      </w:pPr>
      <w:r>
        <w:t xml:space="preserve">[Imię Nazwisko], zam. [adres], na okoliczność [np. przebiegu prac na budowie, przyczyn opóźnień].</w:t>
      </w:r>
    </w:p>
    <w:p>
      <w:pPr>
        <w:pStyle w:val="Compact"/>
        <w:numPr>
          <w:ilvl w:val="0"/>
          <w:numId w:val="1019"/>
        </w:numPr>
      </w:pPr>
      <w:r>
        <w:rPr>
          <w:b/>
          <w:bCs/>
        </w:rPr>
        <w:t xml:space="preserve">Dowód z opinii biegłego rzeczoznawcy budowlanego:</w:t>
      </w:r>
    </w:p>
    <w:p>
      <w:pPr>
        <w:pStyle w:val="Compact"/>
        <w:numPr>
          <w:ilvl w:val="1"/>
          <w:numId w:val="1023"/>
        </w:numPr>
      </w:pPr>
      <w:r>
        <w:t xml:space="preserve">Wnoszę o dopuszczenie i przeprowadzenie dowodu z opinii biegłego sądowego z zakresu budownictwa, na okoliczność:</w:t>
      </w:r>
    </w:p>
    <w:p>
      <w:pPr>
        <w:pStyle w:val="Compact"/>
        <w:numPr>
          <w:ilvl w:val="2"/>
          <w:numId w:val="1024"/>
        </w:numPr>
      </w:pPr>
      <w:r>
        <w:t xml:space="preserve">Ustalenia rzeczywistych przyczyn opóźnień w przekazaniu lokalu nr M-14 [Źródło 1].</w:t>
      </w:r>
    </w:p>
    <w:p>
      <w:pPr>
        <w:pStyle w:val="Compact"/>
        <w:numPr>
          <w:ilvl w:val="2"/>
          <w:numId w:val="1024"/>
        </w:numPr>
      </w:pPr>
      <w:r>
        <w:t xml:space="preserve">Oceny, czy Deweloper „NOVUM Inwestycje” Sp. z o.o. wykazał należytą staranność w realizacji umowy i czy miał realne możliwości uniknięcia opóźnień.</w:t>
      </w:r>
    </w:p>
    <w:p>
      <w:pPr>
        <w:pStyle w:val="Compact"/>
        <w:numPr>
          <w:ilvl w:val="2"/>
          <w:numId w:val="1024"/>
        </w:numPr>
      </w:pPr>
      <w:r>
        <w:t xml:space="preserve">Oceny, czy okoliczności wskazane przez Pozwanego (niedostępność materiałów, działania podwykonawców, zmiany projektu kanalizacji) faktycznie uzasadniały tak znaczące opóźnienie i czy spełniają kryteria siły wyższej lub okoliczności wyłączających odpowiedzialność kontraktową [Źródło 1].</w:t>
      </w:r>
    </w:p>
    <w:p>
      <w:pPr>
        <w:pStyle w:val="Compact"/>
        <w:numPr>
          <w:ilvl w:val="2"/>
          <w:numId w:val="1024"/>
        </w:numPr>
      </w:pPr>
      <w:r>
        <w:t xml:space="preserve">Ewentualnie, określenia realnego terminu zakończenia budowy i przekazania lokalu.</w:t>
      </w:r>
      <w:r>
        <w:t xml:space="preserve"> </w:t>
      </w:r>
      <w:r>
        <w:t xml:space="preserve">(Wniosek ten jest podyktowany złożonością sprawy budowlanej i potrzebą wiadomości specjalnych).</w:t>
      </w:r>
    </w:p>
    <w:p>
      <w:pPr>
        <w:pStyle w:val="FirstParagraph"/>
      </w:pPr>
      <w:r>
        <w:rPr>
          <w:b/>
          <w:bCs/>
        </w:rPr>
        <w:t xml:space="preserve">V. Informacja o próbie pozasądowego rozwiązania sporu:</w:t>
      </w:r>
    </w:p>
    <w:p>
      <w:pPr>
        <w:pStyle w:val="BodyText"/>
      </w:pPr>
      <w:r>
        <w:t xml:space="preserve">Zgodnie z art. 187 § 1 pkt 3 Kodeksu postępowania cywilnego, informuję, że przed wniesieniem niniejszego pozwu Powód podjął próbę pozasądowego rozwiązania sporu poprzez skierowanie do Pozwanego wezwania przedsądowego z dnia 21 czerwca 2026 r. (załącznik do pozwu). Niestety, wezwanie to pozostało bez odpowiedzi / Pozwany odmówił spełnienia żądań Powoda, co czyni dalsze próby pozasądowego rozwiązania sporu bezskutecznymi.</w:t>
      </w:r>
    </w:p>
    <w:p>
      <w:pPr>
        <w:pStyle w:val="BodyText"/>
      </w:pPr>
      <w:r>
        <w:rPr>
          <w:b/>
          <w:bCs/>
        </w:rPr>
        <w:t xml:space="preserve">VI. Pouczenie:</w:t>
      </w:r>
    </w:p>
    <w:p>
      <w:pPr>
        <w:pStyle w:val="BodyText"/>
      </w:pPr>
      <w:r>
        <w:t xml:space="preserve">Niniejszy pozew spełnia warunki pisma procesowego zgodnie z art. 126 i art. 187 Kodeksu postępowania cywilnego.</w:t>
      </w:r>
    </w:p>
    <w:p>
      <w:pPr>
        <w:pStyle w:val="BodyText"/>
      </w:pPr>
      <w:r>
        <w:t xml:space="preserve">[Podpis Powoda lub pełnomocnika]</w:t>
      </w:r>
      <w:r>
        <w:t xml:space="preserve"> </w:t>
      </w:r>
      <w:r>
        <w:t xml:space="preserve">M. K.</w:t>
      </w:r>
    </w:p>
    <w:p>
      <w:pPr>
        <w:pStyle w:val="BodyText"/>
      </w:pPr>
      <w:r>
        <w:rPr>
          <w:b/>
          <w:bCs/>
        </w:rPr>
        <w:t xml:space="preserve">Załączniki:</w:t>
      </w:r>
      <w:r>
        <w:t xml:space="preserve"> </w:t>
      </w:r>
      <w:r>
        <w:t xml:space="preserve">1. Potwierdzenie uiszczenia opłaty sądowej.</w:t>
      </w:r>
      <w:r>
        <w:t xml:space="preserve"> </w:t>
      </w:r>
      <w:r>
        <w:t xml:space="preserve">2. Kopia umowy deweloperskiej nr DEV/████/01.</w:t>
      </w:r>
      <w:r>
        <w:t xml:space="preserve"> </w:t>
      </w:r>
      <w:r>
        <w:t xml:space="preserve">3. Kopie potwierdzeń wpłat na rzecz Pozwanego.</w:t>
      </w:r>
      <w:r>
        <w:t xml:space="preserve"> </w:t>
      </w:r>
      <w:r>
        <w:t xml:space="preserve">4. Kopie korespondencji z Pozwanym.</w:t>
      </w:r>
      <w:r>
        <w:t xml:space="preserve"> </w:t>
      </w:r>
      <w:r>
        <w:t xml:space="preserve">5. Kopie umowy najmu mieszkania zastępczego.</w:t>
      </w:r>
      <w:r>
        <w:t xml:space="preserve"> </w:t>
      </w:r>
      <w:r>
        <w:t xml:space="preserve">6. Kopie faktur/rachunków za najem mieszkania zastępczego.</w:t>
      </w:r>
      <w:r>
        <w:t xml:space="preserve"> </w:t>
      </w:r>
      <w:r>
        <w:t xml:space="preserve">7. Kopia wezwania przedsądowego z dnia 21 czerwca 2026 r. z potwierdzeniem nadania/doręczenia.</w:t>
      </w:r>
      <w:r>
        <w:t xml:space="preserve"> </w:t>
      </w:r>
      <w:r>
        <w:t xml:space="preserve">8. Pełnomocnictwo (jeśli dotyczy).</w:t>
      </w:r>
      <w:r>
        <w:t xml:space="preserve"> </w:t>
      </w:r>
      <w:r>
        <w:t xml:space="preserve">9. Odpisy pozwu i załączników dla Pozwanego.</w:t>
      </w:r>
    </w:p>
    <w:p>
      <w:r>
        <w:pict>
          <v:rect style="width:0;height:1.5pt" o:hralign="center" o:hrstd="t" o:hr="t"/>
        </w:pict>
      </w:r>
    </w:p>
    <w:bookmarkEnd w:id="23"/>
    <w:bookmarkStart w:id="24" w:name="X4b413337ce39201d634b6e737e43463d0501742"/>
    <w:p>
      <w:pPr>
        <w:pStyle w:val="Heading3"/>
      </w:pPr>
      <w:r>
        <w:t xml:space="preserve">4. Wniosek/wnioski dowodowe i zabezpieczające</w:t>
      </w:r>
    </w:p>
    <w:p>
      <w:pPr>
        <w:pStyle w:val="FirstParagraph"/>
      </w:pPr>
      <w:r>
        <w:t xml:space="preserve">Wnioski dowodowe zostały zintegrowane z pozwem, zgodnie z wymogami art. 187 § 1 i 2 KPC.</w:t>
      </w:r>
    </w:p>
    <w:p>
      <w:pPr>
        <w:pStyle w:val="BodyText"/>
      </w:pPr>
      <w:r>
        <w:rPr>
          <w:b/>
          <w:bCs/>
        </w:rPr>
        <w:t xml:space="preserve">Wniosek o powołanie biegłego rzeczoznawcy budowlanego</w:t>
      </w:r>
      <w:r>
        <w:t xml:space="preserve"> </w:t>
      </w:r>
      <w:r>
        <w:t xml:space="preserve">[Źródło 2] - szczegółowo opisany w sekcji</w:t>
      </w:r>
      <w:r>
        <w:t xml:space="preserve"> </w:t>
      </w:r>
      <w:r>
        <w:t xml:space="preserve">“Uzasadnienie wniosku o zabezpieczenie”</w:t>
      </w:r>
      <w:r>
        <w:t xml:space="preserve"> </w:t>
      </w:r>
      <w:r>
        <w:t xml:space="preserve">i</w:t>
      </w:r>
      <w:r>
        <w:t xml:space="preserve"> </w:t>
      </w:r>
      <w:r>
        <w:t xml:space="preserve">“Wnioski dowodowe”</w:t>
      </w:r>
      <w:r>
        <w:t xml:space="preserve"> </w:t>
      </w:r>
      <w:r>
        <w:t xml:space="preserve">pozwu.</w:t>
      </w:r>
    </w:p>
    <w:p>
      <w:pPr>
        <w:pStyle w:val="BodyText"/>
      </w:pPr>
      <w:r>
        <w:rPr>
          <w:b/>
          <w:bCs/>
        </w:rPr>
        <w:t xml:space="preserve">Wniosek o wezwanie do przedstawienia dokumentacji projektowej, umów z podwykonawcami, wykazu zamówień/dostaw</w:t>
      </w:r>
      <w:r>
        <w:t xml:space="preserve"> </w:t>
      </w:r>
      <w:r>
        <w:t xml:space="preserve">[Źródło 2] - należy skierować do sądu w toku postępowania jako wniosek o zobowiązanie Pozwanego do przedłożenia dokumentów, jeśli nie zostaną one dobrowolnie przedstawione przez Dewelopera (art. 255 § KPC).</w:t>
      </w:r>
    </w:p>
    <w:p>
      <w:pPr>
        <w:pStyle w:val="BodyText"/>
      </w:pPr>
      <w:r>
        <w:t xml:space="preserve">[[PROPOSE_DOC: Wezwanie przedsądowe]]</w:t>
      </w:r>
      <w:r>
        <w:t xml:space="preserve"> </w:t>
      </w:r>
      <w:r>
        <w:t xml:space="preserve">[[PROPOSE_DOC: Pozew o zapłatę kar umownych i odszkodowania uzupełniającego wraz z wnioskiem o zabezpieczenie powództwa]]</w:t>
      </w:r>
      <w:r>
        <w:t xml:space="preserve"> </w:t>
      </w:r>
      <w:r>
        <w:t xml:space="preserve">[[PROPOSE_DOC: Wniosek o powołanie biegłego sądowego]]</w:t>
      </w:r>
    </w:p>
    <w:p>
      <w:r>
        <w:pict>
          <v:rect style="width:0;height:1.5pt" o:hralign="center" o:hrstd="t" o:hr="t"/>
        </w:pict>
      </w:r>
    </w:p>
    <w:bookmarkEnd w:id="24"/>
    <w:bookmarkEnd w:id="25"/>
    <w:bookmarkEnd w:id="2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2026-10-05T19:14:23Z</dcterms:created>
  <dcterms:modified xsi:type="dcterms:W3CDTF">2026-10-05T19:14:23Z</dcterms:modified>
</cp:coreProperties>
</file>

<file path=docProps/custom.xml><?xml version="1.0" encoding="utf-8"?>
<Properties xmlns="http://schemas.openxmlformats.org/officeDocument/2006/custom-properties" xmlns:vt="http://schemas.openxmlformats.org/officeDocument/2006/docPropsVTypes"/>
</file>