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prawa-064-rozwiązanie-casebox"/>
    <w:p>
      <w:pPr>
        <w:pStyle w:val="Heading1"/>
      </w:pPr>
      <w:r>
        <w:t xml:space="preserve">Sprawa 064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Sprawa dotyczy roszczeń mgr. inż. Pawła P. N. (Wynajmującego) przeciwko pani Aleksandrze A. Z. (Najemczyni) w związku z umową najmu lokalu mieszkalnego (nr UM-N/██/████) zawartą na czas oznaczony do 31.08.2024 r. [Źródło 1]. Najemczyni zalega z płatnościami czynszu i opłat od stycznia 2024 r. [Źródło 1]. Dodatkowo, w marcu 2024 r. doszło do awarii bojlera i zalania mieszkania poniżej, a Wynajmujący poniósł koszty napraw [Źródło 1]. Wynajmujący oczekuje kompleksowego rozwiązania prawnego, obejmującego dochodzenie roszczeń pieniężnych w wysokości 20 200,00 zł, potwierdzenie możliwości potrącenia z kaucji w kwocie 7 500,00 zł oraz uzyskanie eksmisji Najemczyni z lokalu [Źródło 1]. Najemczyni kwestionuje swoją odpowiedzialność za awarię, podnosi zarzuty abuzywności klauzul umownych dotyczących potrąceń z kaucji i kar umownych, domaga się obniżenia czynszu i zarzuca Wynajmującemu naruszenie zasad współżycia społecznego [Źródło 1].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Typ dokumentu:</w:t>
      </w:r>
      <w:r>
        <w:t xml:space="preserve"> </w:t>
      </w:r>
      <w:r>
        <w:t xml:space="preserve">Opis stanu faktycznego i zadanie dla kancelarii prawnej (kazus prawny)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Sygnatura wewnętrzna sprawy:</w:t>
      </w:r>
      <w:r>
        <w:t xml:space="preserve"> </w:t>
      </w:r>
      <w:r>
        <w:t xml:space="preserve">KAN/████/███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stanu faktycznego (kazusu):</w:t>
      </w:r>
      <w:r>
        <w:t xml:space="preserve"> </w:t>
      </w:r>
      <w:r>
        <w:t xml:space="preserve">01.08.2025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Wynajmujący (klient):</w:t>
      </w:r>
      <w:r>
        <w:t xml:space="preserve"> </w:t>
      </w:r>
      <w:r>
        <w:t xml:space="preserve">P. N.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Najemczyni (strona przeciwna):</w:t>
      </w:r>
      <w:r>
        <w:t xml:space="preserve"> </w:t>
      </w:r>
      <w:r>
        <w:t xml:space="preserve">pani A. Z.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Umowa najmu:</w:t>
      </w:r>
      <w:r>
        <w:t xml:space="preserve"> </w:t>
      </w:r>
      <w:r>
        <w:t xml:space="preserve">nr UM-N/██/████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zawarcia umowy:</w:t>
      </w:r>
      <w:r>
        <w:t xml:space="preserve"> </w:t>
      </w:r>
      <w:r>
        <w:t xml:space="preserve">01.09.2023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Czas trwania umowy:</w:t>
      </w:r>
      <w:r>
        <w:t xml:space="preserve"> </w:t>
      </w:r>
      <w:r>
        <w:t xml:space="preserve">do 31.08.2024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Czynsz:</w:t>
      </w:r>
      <w:r>
        <w:t xml:space="preserve"> </w:t>
      </w:r>
      <w:r>
        <w:t xml:space="preserve">2 500,00 zł brutto miesięcznie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Kaucja zabezpieczająca:</w:t>
      </w:r>
      <w:r>
        <w:t xml:space="preserve"> </w:t>
      </w:r>
      <w:r>
        <w:t xml:space="preserve">7 500,00 zł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Początek opóźnień w płatnościach:</w:t>
      </w:r>
      <w:r>
        <w:t xml:space="preserve"> </w:t>
      </w:r>
      <w:r>
        <w:t xml:space="preserve">listopad 2023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Całkowite zaprzestanie regulowania czynszu i opłat:</w:t>
      </w:r>
      <w:r>
        <w:t xml:space="preserve"> </w:t>
      </w:r>
      <w:r>
        <w:t xml:space="preserve">od stycznia 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awarii bojlera i wycieku wody:</w:t>
      </w:r>
      <w:r>
        <w:t xml:space="preserve"> </w:t>
      </w:r>
      <w:r>
        <w:t xml:space="preserve">30.03.2024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Zgłoszona szkoda zalania mieszkania poniżej:</w:t>
      </w:r>
      <w:r>
        <w:t xml:space="preserve"> </w:t>
      </w:r>
      <w:r>
        <w:t xml:space="preserve">6 800,00 zł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Koszty napraw bojlera poniesione przez Wynajmującego:</w:t>
      </w:r>
      <w:r>
        <w:t xml:space="preserve"> </w:t>
      </w:r>
      <w:r>
        <w:t xml:space="preserve">5 200,00 zł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Paragrafy umowy zawierające sporne klauzule:</w:t>
      </w:r>
      <w:r>
        <w:t xml:space="preserve"> </w:t>
      </w:r>
      <w:r>
        <w:t xml:space="preserve">Par. 8 (potrącenie z kaucji), Par. 10 (natychmiastowe naprawy i obciążenie kosztami), Par. 11 (kary umowne)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Wysokość kary umownej:</w:t>
      </w:r>
      <w:r>
        <w:t xml:space="preserve"> </w:t>
      </w:r>
      <w:r>
        <w:t xml:space="preserve">50,00 zł za każdy dzień opóźnienia w zapłacie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Łączna zaległość Najemczyni na 01.08.2025 r.:</w:t>
      </w:r>
      <w:r>
        <w:t xml:space="preserve"> </w:t>
      </w:r>
      <w:r>
        <w:t xml:space="preserve">20 200,00 zł (obejmująca czynsze, koszty napraw i opłaty) [Źródło 1].</w:t>
      </w:r>
    </w:p>
    <w:bookmarkEnd w:id="11"/>
    <w:bookmarkStart w:id="14" w:name="żądania-i-twierdzenia-stron"/>
    <w:p>
      <w:pPr>
        <w:pStyle w:val="Heading2"/>
      </w:pPr>
      <w:r>
        <w:t xml:space="preserve">Żądania i twierdzenia stron</w:t>
      </w:r>
    </w:p>
    <w:bookmarkStart w:id="12" w:name="wynajmujący-klient"/>
    <w:p>
      <w:pPr>
        <w:pStyle w:val="Heading3"/>
      </w:pPr>
      <w:r>
        <w:t xml:space="preserve">Wynajmujący (klient)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Roszczenia pieniężne:</w:t>
      </w:r>
      <w:r>
        <w:t xml:space="preserve"> </w:t>
      </w:r>
      <w:r>
        <w:t xml:space="preserve">Żądanie zapłaty łącznej kwoty 20 200,00 zł, składającej się z zaległego czynszu, opłat oraz kosztów napraw. [Źródło 1]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Potrącenie z kaucji:</w:t>
      </w:r>
      <w:r>
        <w:t xml:space="preserve"> </w:t>
      </w:r>
      <w:r>
        <w:t xml:space="preserve">Potwierdzenie możliwości i zasadności potrącenia należności z wpłaconej kaucji w wysokości 7 500,00 zł. [Źródło 1]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Eksmisja:</w:t>
      </w:r>
      <w:r>
        <w:t xml:space="preserve"> </w:t>
      </w:r>
      <w:r>
        <w:t xml:space="preserve">Uzyskanie eksmisji Najemczyni z lokalu. [Źródło 1]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Odsetki i kary umowne:</w:t>
      </w:r>
      <w:r>
        <w:t xml:space="preserve"> </w:t>
      </w:r>
      <w:r>
        <w:t xml:space="preserve">Naliczanie odsetek ustawowych za opóźnienie oraz kar umownych zgodnie z umową. [Źródło 1]</w:t>
      </w:r>
    </w:p>
    <w:bookmarkEnd w:id="12"/>
    <w:bookmarkStart w:id="13" w:name="najemczyni-strona-przeciwna"/>
    <w:p>
      <w:pPr>
        <w:pStyle w:val="Heading3"/>
      </w:pPr>
      <w:r>
        <w:t xml:space="preserve">Najemczyni (strona przeciwna)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Brak odpowiedzialności za awarię:</w:t>
      </w:r>
      <w:r>
        <w:t xml:space="preserve"> </w:t>
      </w:r>
      <w:r>
        <w:t xml:space="preserve">Kwestionuje odpowiedzialność za awarię bojlera, twierdząc, że był wadliwy. [Źródło 1]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Abuzywność klauzul:</w:t>
      </w:r>
      <w:r>
        <w:t xml:space="preserve"> </w:t>
      </w:r>
      <w:r>
        <w:t xml:space="preserve">Zarzuca abuzywność klauzul umownych dotyczących jednostronnego potrącenia należności z kaucji (§ 8 umowy) oraz kar umownych (§ 11 umowy). [Źródło 1]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Obniżenie czynszu:</w:t>
      </w:r>
      <w:r>
        <w:t xml:space="preserve"> </w:t>
      </w:r>
      <w:r>
        <w:t xml:space="preserve">Domaga się obniżenia czynszu o 30% z powodu „utrudnionego korzystania z lokalu”. [Źródło 1]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Naruszenie zasad współżycia społecznego:</w:t>
      </w:r>
      <w:r>
        <w:t xml:space="preserve"> </w:t>
      </w:r>
      <w:r>
        <w:t xml:space="preserve">Twierdzi, że Wynajmujący naruszył zasady współżycia społecznego poprzez</w:t>
      </w:r>
      <w:r>
        <w:t xml:space="preserve"> </w:t>
      </w:r>
      <w:r>
        <w:t xml:space="preserve">“samowolne”</w:t>
      </w:r>
      <w:r>
        <w:t xml:space="preserve"> </w:t>
      </w:r>
      <w:r>
        <w:t xml:space="preserve">naprawy i wejścia do lokalu. [Źródło 1]</w:t>
      </w:r>
    </w:p>
    <w:bookmarkEnd w:id="13"/>
    <w:bookmarkEnd w:id="14"/>
    <w:bookmarkStart w:id="22" w:name="opinia-prawna"/>
    <w:p>
      <w:pPr>
        <w:pStyle w:val="Heading2"/>
      </w:pPr>
      <w:r>
        <w:t xml:space="preserve">Opinia prawna</w:t>
      </w:r>
    </w:p>
    <w:bookmarkStart w:id="15" w:name="i.-kwalifikacja-prawna-stanu-faktycznego"/>
    <w:p>
      <w:pPr>
        <w:pStyle w:val="Heading3"/>
      </w:pPr>
      <w:r>
        <w:t xml:space="preserve">I. Kwalifikacja prawna stanu faktycznego</w:t>
      </w:r>
    </w:p>
    <w:p>
      <w:pPr>
        <w:pStyle w:val="FirstParagraph"/>
      </w:pPr>
      <w:r>
        <w:t xml:space="preserve">Stan faktyczny dotyczy cywilnoprawnego stosunku najmu, uregulowanego przepisami Kodeksu cywilnego (dalej: k.c.), a także ustaw szczegółowych, choć w przypadku braku odmiennych postanowień umownych lub przepisów szczególnych, zastosowanie znajdą ogólne przepisy k.c. dotyczące najmu (art. 659 i nast. k.c.). Roszczenia Wynajmującego mają charakter pieniężny (zaległy czynsz, opłaty, koszty napraw, kary umowne, odsetki) oraz niepieniężny (eksmisja). Najemczyni jest konsumentem, co ma znaczenie dla oceny abuzywności klauzul umownych.</w:t>
      </w:r>
    </w:p>
    <w:bookmarkEnd w:id="15"/>
    <w:bookmarkStart w:id="16" w:name="X5c57810fbe812ce87733b8d28e77d33a429c31e"/>
    <w:p>
      <w:pPr>
        <w:pStyle w:val="Heading3"/>
      </w:pPr>
      <w:r>
        <w:t xml:space="preserve">II. Ocena ważności/skuteczności kluczowych postanowień umowy i czynności stron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Uprawnienie Wynajmującego do jednostronnego potrącenia należności z kaucji (Par. 8 umowy):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Zastosowanie przepisów:</w:t>
      </w:r>
      <w:r>
        <w:t xml:space="preserve"> </w:t>
      </w:r>
      <w:r>
        <w:t xml:space="preserve">Kaucja służy zabezpieczeniu pokrycia należności Wynajmującego z tytułu najmu. Jej przeznaczenie i zasady rozliczenia powinny być określone w umowie. Potrącenie (kompensacja) jest dopuszczalne, gdy dwie osoby są jednocześnie względem siebie dłużnikami i wierzycielami, a przedmiotem obu wierzytelności są pieniądze lub rzeczy tej samej jakości oznaczone tylko co do gatunku, a obie wierzytelności są wymagalne i zaskarżalne (art. 498 k.c.). Umowne uprawnienie do potrącenia, nawet jednostronne, jest co do zasady dopuszczalne, o ile nie narusza bezwzględnie obowiązujących przepisów prawa.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Ocena klauzuli i zarzutu abuzywności:</w:t>
      </w:r>
      <w:r>
        <w:t xml:space="preserve"> </w:t>
      </w:r>
      <w:r>
        <w:t xml:space="preserve">Klauzula zezwalająca na jednostronne potrącenie z kaucji może być kwestionowana jako abuzywna, jeśli narusza równowagę stron na niekorzyść konsumenta (Najemczyni). Jednakże, jeśli kaucja ma z natury rzeczy zabezpieczać należności Wynajmującego, to jej potrącenie jest logiczną konsekwencją jej przeznaczenia. W orzecznictwie sądów powszechnych często podkreśla się, że postanowienia umowne, które nie zostały indywidualnie uzgodnione z konsumentem, są niedozwolone, jeżeli kształtują jego prawa i obowiązki w sposób sprzeczny z dobrymi obyczajami, rażąco naruszając jego interesy (analogicznie do spraw frankowych, gdzie analizowano abuzywność klauzul kształtujących kursy walutowe [7]). Potrącenie to instytucja prawna przewidziana w k.c., więc samo potrącenie nie jest abuzywne, o ile nie pozbawia Najemczyni możliwości obrony czy kontroli nad rozliczeniem kaucji. Jeżeli klauzula jest sformułowana w sposób jasny i precyzyjny, wskazując, jakie konkretnie należności mogą być potrącone, a Najemczyni została o tym poinformowana, szanse na uznanie jej za abuzywną maleją. Wynajmujący może dokonać potrącenia z kaucji</w:t>
      </w:r>
      <w:r>
        <w:t xml:space="preserve"> </w:t>
      </w:r>
      <w:r>
        <w:rPr>
          <w:i/>
          <w:iCs/>
        </w:rPr>
        <w:t xml:space="preserve">po ustaniu stosunku najmu</w:t>
      </w:r>
      <w:r>
        <w:t xml:space="preserve"> </w:t>
      </w:r>
      <w:r>
        <w:t xml:space="preserve">lub w trakcie, jeśli umowa na to pozwala i wierzytelności są wymagalne. Klient oczekuje potwierdzenia możliwości i zasadności potrącenia [Źródło 1], co jest zasadne, ale należy je zrealizować zgodnie z przepisami.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Wniosek:</w:t>
      </w:r>
      <w:r>
        <w:t xml:space="preserve"> </w:t>
      </w:r>
      <w:r>
        <w:t xml:space="preserve">Klauzula jest raczej ważna, ale rozliczenie musi być transparentne. Kaucja może zostać potrącona na poczet wymagalnych i udowodnionych należności.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Uprawnienie Wynajmującego do natychmiastowego wykonania napraw i obciążenia Najemczyni kosztami (Par. 10 umowy):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Zastosowanie przepisów:</w:t>
      </w:r>
      <w:r>
        <w:t xml:space="preserve"> </w:t>
      </w:r>
      <w:r>
        <w:t xml:space="preserve">Zgodnie z art. 681 k.c., do drobnych nakładów, które obciążają najemcę, należą w szczególności: drobne naprawy podłóg, drzwi i okien, malowanie ścian, podłóg oraz wewnętrzna strona drzwi wejściowych, jak również drobne naprawy instalacji i urządzeń technicznych, zapewniające możliwość używania przedmiotu najmu, w tym naprawa i wymiana wylewek podłogowych. W szerszym zakresie odpowiedzialność najemcy za szkody w lokalu, jeśli są wynikiem jego niewłaściwego używania, wynika z art. 6a i art. 6b ustawy o ochronie praw lokatorów, mieszkaniowym zasobie gminy i o zmianie Kodeksu cywilnego oraz z art. 471 k.c. (odpowiedzialność kontraktowa za niewykonanie lub nienależyte wykonanie zobowiązania). Wynajmujący, w sytuacji zagrożenia dalszą szkodą (np. zalanie sąsiednich lokali), ma prawo podjąć natychmiastowe działania naprawcze.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Ocena klauzuli i zarzutu naruszenia zasad współżycia społecznego:</w:t>
      </w:r>
      <w:r>
        <w:t xml:space="preserve"> </w:t>
      </w:r>
      <w:r>
        <w:t xml:space="preserve">Klauzula umożliwiająca Wynajmującemu przeprowadzenie napraw i obciążenie Najemczyni kosztami jest uzasadniona z punktu widzenia ochrony majątku i zapobiegania dalszym szkodom. Zarzut</w:t>
      </w:r>
      <w:r>
        <w:t xml:space="preserve"> </w:t>
      </w:r>
      <w:r>
        <w:t xml:space="preserve">“samowolnych”</w:t>
      </w:r>
      <w:r>
        <w:t xml:space="preserve"> </w:t>
      </w:r>
      <w:r>
        <w:t xml:space="preserve">napraw i wejść do lokalu [Źródło 1] może być podnoszony przez Najemczynię. Jednakże, w sytuacjach awaryjnych, zwłaszcza zagrażających nieruchomości (np. wyciek wody), Wynajmujący ma prawo wejść do lokalu (zwykle po wcześniejszej próbie kontaktu i powiadomienia, a w nagłych wypadkach nawet bez zgody najemcy) w celu usunięcia zagrożenia. Działanie Wynajmującego polegające na zleceniu naprawy było konieczne, aby zapobiec dalszym szkodom. Zatem, poniesione koszty mogą być dochodzone od Najemczyni.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Kary umowne w wysokości 50,00 zł za każdy dzień opóźnienia w zapłacie (Par. 11 umowy):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Zastosowanie przepisów:</w:t>
      </w:r>
      <w:r>
        <w:t xml:space="preserve"> </w:t>
      </w:r>
      <w:r>
        <w:t xml:space="preserve">Kara umowna jest świadczeniem pieniężnym na wypadek niewykonania lub nienależytego wykonania zobowiązania niepieniężnego (art. 483 § 1 k.c.) lub na wypadek zwłoki (opóźnienia) w spełnieniu świadczenia pieniężnego (art. 484 § 1 k.c.).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Ocena klauzuli i zarzutu abuzywności:</w:t>
      </w:r>
      <w:r>
        <w:t xml:space="preserve"> </w:t>
      </w:r>
      <w:r>
        <w:t xml:space="preserve">Klauzula kary umownej za opóźnienie w zapłacie czynszu jest co do zasady dopuszczalna. Jednakże jej wysokość (50 zł dziennie) w stosunku do miesięcznego czynszu (2500 zł) jest znacząca. W przypadku sporu sądowego istnieje ryzyko, że sąd zastosuje miarkowanie kary umownej (art. 484 § 2 k.c.), uznając ją za rażąco wygórowaną. Przy ocenie miarkowania kary sąd bierze pod uwagę m.in. wysokość szkody poniesionej przez wierzyciela, stopień wykonania zobowiązania oraz okoliczności sprawy. Zarzut abuzywności może zostać podniesiony i uwzględniony, jeśli sąd uzna, że klauzula rażąco narusza interesy konsumenta [7].</w:t>
      </w:r>
    </w:p>
    <w:bookmarkEnd w:id="16"/>
    <w:bookmarkStart w:id="17" w:name="iii.-zarzuty-najemczyni-i-ich-ocena"/>
    <w:p>
      <w:pPr>
        <w:pStyle w:val="Heading3"/>
      </w:pPr>
      <w:r>
        <w:t xml:space="preserve">III. Zarzuty Najemczyni i ich ocena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Kwestionowanie odpowiedzialności za awarię bojlera (wada fabryczna):</w:t>
      </w:r>
    </w:p>
    <w:p>
      <w:pPr>
        <w:pStyle w:val="Compact"/>
        <w:numPr>
          <w:ilvl w:val="1"/>
          <w:numId w:val="1009"/>
        </w:numPr>
      </w:pPr>
      <w:r>
        <w:rPr>
          <w:b/>
          <w:bCs/>
        </w:rPr>
        <w:t xml:space="preserve">Ocena:</w:t>
      </w:r>
      <w:r>
        <w:t xml:space="preserve"> </w:t>
      </w:r>
      <w:r>
        <w:t xml:space="preserve">Ciężar dowodu, że awaria bojlera wynikała z wady fabrycznej, a nie z niewłaściwego użytkowania lub braku należytej dbałości o lokal, spoczywa na Najemczyni (art. 6 k.c., art. 232 k.p.c.) [1, 2, 3, 4, 7, 10]. Wynajmujący musi uprawdopodobnić, że szkoda powstała, Najemczyni ponosi odpowiedzialność za stan lokalu, a następnie udowodnić poniesione koszty napraw. W przypadku, gdy Najemczyni twierdzi o wadzie fabrycznej, powinna to udowodnić, np. poprzez przedstawienie ekspertyzy. W braku takiego dowodu, jej zarzut jest słaby.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Abuzywność klauzul (potrącenie z kaucji, kary umowne):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Ocena:</w:t>
      </w:r>
      <w:r>
        <w:t xml:space="preserve"> </w:t>
      </w:r>
      <w:r>
        <w:t xml:space="preserve">Jak wspomniano wyżej, ryzyko abuzywności jest realne, zwłaszcza w odniesieniu do wysokości kary umownej. Sąd może z urzędu badać abuzywność klauzul w umowach konsumenckich. W przypadku uznania klauzuli za niedozwoloną, nie będzie ona wiążąca dla konsumenta (Najemczyni).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Żądanie obniżenia czynszu o 30% z powodu „utrudnionego korzystania z lokalu”:</w:t>
      </w:r>
    </w:p>
    <w:p>
      <w:pPr>
        <w:pStyle w:val="Compact"/>
        <w:numPr>
          <w:ilvl w:val="1"/>
          <w:numId w:val="1011"/>
        </w:numPr>
      </w:pPr>
      <w:r>
        <w:rPr>
          <w:b/>
          <w:bCs/>
        </w:rPr>
        <w:t xml:space="preserve">Zastosowanie przepisów:</w:t>
      </w:r>
      <w:r>
        <w:t xml:space="preserve"> </w:t>
      </w:r>
      <w:r>
        <w:t xml:space="preserve">Zgodnie z art. 664 § 1 k.c., jeżeli rzecz najęta ma wady, które ograniczają jej przydatność do umówionego użytku, najemca może żądać odpowiedniego obniżenia czynszu za czas trwania wad. Jeżeli wady są tego rodzaju, że uniemożliwiają przewidziane w umowie używanie rzeczy, albo jeżeli Wynajmujący, mimo otrzymania zawiadomienia, nie usunął wad w odpowiednim terminie, albo jeżeli wady powstały później, a Wynajmujący mimo zawiadomienia nie usunął ich w odpowiednim terminie, najemca może wypowiedzieć najem bez zachowania terminów wypowiedzenia.</w:t>
      </w:r>
    </w:p>
    <w:p>
      <w:pPr>
        <w:pStyle w:val="Compact"/>
        <w:numPr>
          <w:ilvl w:val="1"/>
          <w:numId w:val="1011"/>
        </w:numPr>
      </w:pPr>
      <w:r>
        <w:rPr>
          <w:b/>
          <w:bCs/>
        </w:rPr>
        <w:t xml:space="preserve">Ocena:</w:t>
      </w:r>
      <w:r>
        <w:t xml:space="preserve"> </w:t>
      </w:r>
      <w:r>
        <w:t xml:space="preserve">Najemczyni musiałaby udowodnić istnienie wad lokalu, które utrudniały korzystanie, oraz fakt, że zgłosiła je Wynajmującemu, a ten nie podjął działań. Sama awaria bojlera i wyciek, choć uciążliwe, zostały usunięte przez Wynajmującego. Pytanie, czy po naprawie istniały dalsze utrudnienia w korzystaniu z lokalu i przez jaki okres. Ciężar dowodu spoczywa na Najemczyni (art. 6 k.c., art. 232 k.p.c.) [1, 2, 3, 4, 7, 10].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Naruszenie zasad współżycia społecznego (samowolne naprawy, wejścia do lokalu):</w:t>
      </w:r>
    </w:p>
    <w:p>
      <w:pPr>
        <w:pStyle w:val="Compact"/>
        <w:numPr>
          <w:ilvl w:val="1"/>
          <w:numId w:val="1012"/>
        </w:numPr>
      </w:pPr>
      <w:r>
        <w:rPr>
          <w:b/>
          <w:bCs/>
        </w:rPr>
        <w:t xml:space="preserve">Ocena:</w:t>
      </w:r>
      <w:r>
        <w:t xml:space="preserve"> </w:t>
      </w:r>
      <w:r>
        <w:t xml:space="preserve">Ten zarzut jest słaby w przypadku awarii zagrażającej nieruchomości. Wynajmujący miał prawo i obowiązek podjęcia działań w celu minimalizacji szkody. Ograniczenie lub wyłączenie prawa Wynajmującego do dostępu do lokalu w sytuacjach awaryjnych byłoby sprzeczne z przeznaczeniem lokalu i ochroną własności.</w:t>
      </w:r>
    </w:p>
    <w:bookmarkEnd w:id="17"/>
    <w:bookmarkStart w:id="18" w:name="iv.-analiza-terminu-i-przedawnienia"/>
    <w:p>
      <w:pPr>
        <w:pStyle w:val="Heading3"/>
      </w:pPr>
      <w:r>
        <w:t xml:space="preserve">IV. Analiza terminu i przedawnienia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Roszczenia o czynsz i opłaty:</w:t>
      </w:r>
      <w:r>
        <w:t xml:space="preserve"> </w:t>
      </w:r>
      <w:r>
        <w:t xml:space="preserve">Roszczenia o świadczenia okresowe, takie jak czynsz najmu, przedawniają się z upływem trzech lat (art. 118 k.c.). Biorąc pod uwagę, że Najemczyni przestała regulować czynsz od stycznia 2024 r. [Źródło 1], a umowa obowiązywała do 31.08.2024 r., a następnie zajmowała lokal bezumownie do co najmniej 01.08.2025 r. (data kazusu) [Źródło 1], roszczenia za ten okres nie są przedawnione.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Roszczenia o koszty napraw:</w:t>
      </w:r>
      <w:r>
        <w:t xml:space="preserve"> </w:t>
      </w:r>
      <w:r>
        <w:t xml:space="preserve">Roszczenia z tytułu umowy najmu, w tym o zwrot kosztów napraw, przedawniają się z upływem trzech lat od dnia wymagalności (art. 118 k.c.). Awaria miała miejsce 30.03.2024 r. [Źródło 1]. Roszczenie o zwrot kosztów naprawy, które powstały po tej dacie, również nie uległo przedawnieniu.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Roszczenia o kary umowne:</w:t>
      </w:r>
      <w:r>
        <w:t xml:space="preserve"> </w:t>
      </w:r>
      <w:r>
        <w:t xml:space="preserve">Kary umowne przedawniają się wraz z przedawnieniem roszczenia głównego (art. 118 k.c. w zw. z art. 484 § 1 k.c.).</w:t>
      </w:r>
    </w:p>
    <w:bookmarkEnd w:id="18"/>
    <w:bookmarkStart w:id="19" w:name="v.-kwestie-dowodowe"/>
    <w:p>
      <w:pPr>
        <w:pStyle w:val="Heading3"/>
      </w:pPr>
      <w:r>
        <w:t xml:space="preserve">V. Kwestie dowodowe</w:t>
      </w:r>
    </w:p>
    <w:p>
      <w:pPr>
        <w:pStyle w:val="FirstParagraph"/>
      </w:pPr>
      <w:r>
        <w:t xml:space="preserve">Na Wynajmującym (kliencie) spoczywa ciężar udowodnienia faktów, z których wywodzi skutki prawne (art. 6 k.c., art. 232 k.p.c.) [1, 2, 3, 4, 7, 10]. Wynajmujący musi udowodnić: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Istnienie i treść umowy najmu:</w:t>
      </w:r>
      <w:r>
        <w:t xml:space="preserve"> </w:t>
      </w:r>
      <w:r>
        <w:t xml:space="preserve">Poprzez przedłożenie umowy nr UM-N/██/████ [Źródło 1].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Wysokość czynszu i opłat:</w:t>
      </w:r>
      <w:r>
        <w:t xml:space="preserve"> </w:t>
      </w:r>
      <w:r>
        <w:t xml:space="preserve">Wynika z umowy [Źródło 1].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Okresy zaległości:</w:t>
      </w:r>
      <w:r>
        <w:t xml:space="preserve"> </w:t>
      </w:r>
      <w:r>
        <w:t xml:space="preserve">Poprzez wyciągi bankowe, historię płatności, korespondencję z Najemczynią.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Koszty napraw:</w:t>
      </w:r>
      <w:r>
        <w:t xml:space="preserve"> </w:t>
      </w:r>
      <w:r>
        <w:t xml:space="preserve">Poprzez faktury, rachunki, potwierdzenia przelewów za wykonane prace i materiały.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Awarie i ich skutki:</w:t>
      </w:r>
      <w:r>
        <w:t xml:space="preserve"> </w:t>
      </w:r>
      <w:r>
        <w:t xml:space="preserve">Protokół z oględzin, dokumentacja fotograficzna, zeznania świadków, np. hydraulików, sąsiadów, potwierdzające zalanie i konieczność napraw.</w:t>
      </w:r>
      <w:r>
        <w:t xml:space="preserve"> </w:t>
      </w:r>
      <w:r>
        <w:t xml:space="preserve">6.</w:t>
      </w:r>
      <w:r>
        <w:t xml:space="preserve"> </w:t>
      </w:r>
      <w:r>
        <w:rPr>
          <w:b/>
          <w:bCs/>
        </w:rPr>
        <w:t xml:space="preserve">Fakt i termin bezumownego korzystania z lokalu:</w:t>
      </w:r>
      <w:r>
        <w:t xml:space="preserve"> </w:t>
      </w:r>
      <w:r>
        <w:t xml:space="preserve">Zeznania świadków, protokoły (np. z prób odebrania lokalu po zakończeniu umowy), korespondencja.</w:t>
      </w:r>
      <w:r>
        <w:t xml:space="preserve"> </w:t>
      </w:r>
      <w:r>
        <w:t xml:space="preserve">### V. Wyliczenie roszczeń</w:t>
      </w:r>
    </w:p>
    <w:p>
      <w:pPr>
        <w:pStyle w:val="BodyText"/>
      </w:pPr>
      <w:r>
        <w:t xml:space="preserve">Na dzień 01.08.2025 r., łączna zaległość Najemczyni wynosi 20 200,00 zł, obejmująca czynsze, koszty napraw i opłaty [Źródło 1]. Składają się na nią następujące elementy: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Koszty naprawy bojlera i usuwania skutków awarii:</w:t>
      </w:r>
      <w:r>
        <w:t xml:space="preserve"> </w:t>
      </w:r>
      <w:r>
        <w:t xml:space="preserve">5 200,00 zł [Źródło 1]. Jest to roszczenie oparte na art. 471 k.c. (odpowiedzialność kontraktowa za nienależyte wykonanie zobowiązania, np. nieutrzymywanie lokalu w należytym stanie) lub art. 415 k.c. (odpowiedzialność deliktowa), jeśli Najemczyni ponosi winę za awarię. Termin wymagalności: od dnia poniesienia kosztów przez Wynajmującego.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Zaległe czynsze i opłaty:</w:t>
      </w:r>
      <w:r>
        <w:t xml:space="preserve"> </w:t>
      </w:r>
      <w:r>
        <w:t xml:space="preserve">15 000,00 zł (20 200,00 zł - 5 200,00 zł) [Źródło 1]. Jest to roszczenie oparte na art. 659 § 1 k.c. w związku z umową najmu oraz roszczenie o wynagrodzenie za bezumowne korzystanie z lokalu po zakończeniu umowy (art. 224-225 k.c. w zw. z art. 229 k.c.). Termin wymagalności: zgodnie z terminami płatności wskazanymi w umowie lub, w przypadku bezumownego korzystania, miesięcznie z góry.</w:t>
      </w:r>
    </w:p>
    <w:p>
      <w:pPr>
        <w:pStyle w:val="FirstParagraph"/>
      </w:pPr>
      <w:r>
        <w:rPr>
          <w:b/>
          <w:bCs/>
        </w:rPr>
        <w:t xml:space="preserve">Łączna kwota roszczenia głównego:</w:t>
      </w:r>
      <w:r>
        <w:t xml:space="preserve"> </w:t>
      </w:r>
      <w:r>
        <w:t xml:space="preserve">20 200,00 zł [Źródło 1].</w:t>
      </w:r>
    </w:p>
    <w:p>
      <w:pPr>
        <w:pStyle w:val="BodyText"/>
      </w:pPr>
      <w:r>
        <w:rPr>
          <w:b/>
          <w:bCs/>
        </w:rPr>
        <w:t xml:space="preserve">Odsetki ustawowe za opóźnienie:</w:t>
      </w:r>
      <w:r>
        <w:t xml:space="preserve"> </w:t>
      </w:r>
      <w:r>
        <w:t xml:space="preserve">Wynajmującemu przysługują odsetki ustawowe za opóźnienie od każdej wymagalnej kwoty z osobna, liczone od dnia wymagalności do dnia zapłaty (art. 481 § 1 k.c.).</w:t>
      </w:r>
      <w:r>
        <w:t xml:space="preserve"> </w:t>
      </w:r>
      <w:r>
        <w:t xml:space="preserve">* Dla kosztów napraw: od dnia 30.03.2024 r. (lub dnia faktycznego poniesienia kosztu przez Wynajmującego, jeśli późniejszy) do dnia zapłaty.</w:t>
      </w:r>
      <w:r>
        <w:t xml:space="preserve"> </w:t>
      </w:r>
      <w:r>
        <w:t xml:space="preserve">* Dla czynszów i opłat: od dnia następnego po upływie terminu płatności każdego miesięcznego czynszu/opłaty.</w:t>
      </w:r>
    </w:p>
    <w:p>
      <w:pPr>
        <w:pStyle w:val="BodyText"/>
      </w:pPr>
      <w:r>
        <w:rPr>
          <w:b/>
          <w:bCs/>
        </w:rPr>
        <w:t xml:space="preserve">Kary umowne:</w:t>
      </w:r>
      <w:r>
        <w:t xml:space="preserve"> </w:t>
      </w:r>
      <w:r>
        <w:t xml:space="preserve">Zgodnie z § 11 umowy, kary umowne wynoszą 50,00 zł za każdy dzień opóźnienia w zapłacie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Obliczenie:</w:t>
      </w:r>
      <w:r>
        <w:t xml:space="preserve"> </w:t>
      </w:r>
      <w:r>
        <w:t xml:space="preserve">Jeśli liczyć od stycznia 2024 r. (kiedy Najemczyni przestała regulować czynsz i opłaty) do 01.08.2025 r. (data kazusu), daje to około 578 dni (styczeń 2024 - lipiec 2025).</w:t>
      </w:r>
      <w:r>
        <w:t xml:space="preserve"> </w:t>
      </w:r>
      <w:r>
        <w:t xml:space="preserve">* 578 dni * 50,00 zł/dzień =</w:t>
      </w:r>
      <w:r>
        <w:t xml:space="preserve"> </w:t>
      </w:r>
      <w:r>
        <w:rPr>
          <w:b/>
          <w:bCs/>
        </w:rPr>
        <w:t xml:space="preserve">28 900,00 zł</w:t>
      </w:r>
      <w:r>
        <w:t xml:space="preserve">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Ryzyko miarkowania:</w:t>
      </w:r>
      <w:r>
        <w:t xml:space="preserve"> </w:t>
      </w:r>
      <w:r>
        <w:t xml:space="preserve">Jak wcześniej wskazano, istnieje wysokie ryzyko miarkowania tej kary przez sąd (art. 484 § 2 k.c.) ze względu na jej potencjalnie rażąco wygórowaną wysokość w stosunku do długu głównego. Sąd może obniżyć karę, biorąc pod uwagę m.in. wysokość poniesionej szkody oraz stopień wykonania zobowiązania. Z uwagi na ryzyko miarkowania, rekomenduje się dochodzenie kar umownych, ale z realistyczną oceną szans na ich pełne zasądzenie.</w:t>
      </w:r>
    </w:p>
    <w:bookmarkEnd w:id="19"/>
    <w:bookmarkStart w:id="20" w:name="vi.-rejestr-ryzyk-i-szans"/>
    <w:p>
      <w:pPr>
        <w:pStyle w:val="Heading3"/>
      </w:pPr>
      <w:r>
        <w:t xml:space="preserve">VI. Rejestr ryzyk i szans</w:t>
      </w:r>
    </w:p>
    <w:p>
      <w:pPr>
        <w:pStyle w:val="FirstParagraph"/>
      </w:pPr>
      <w:r>
        <w:rPr>
          <w:b/>
          <w:bCs/>
        </w:rPr>
        <w:t xml:space="preserve">Mocne punkty sprawy (szanse):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Pisemna umowa najmu:</w:t>
      </w:r>
      <w:r>
        <w:t xml:space="preserve"> </w:t>
      </w:r>
      <w:r>
        <w:t xml:space="preserve">Istnieje pisemna umowa określająca obowiązki stron, wysokość czynszu, kaucji i kary umowne [Źródło 1].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Wysokość zaległości:</w:t>
      </w:r>
      <w:r>
        <w:t xml:space="preserve"> </w:t>
      </w:r>
      <w:r>
        <w:t xml:space="preserve">Klient ma jasno określoną łączną kwotę zaległości (20 200,00 zł) oraz udokumentowane koszty napraw (5 200,00 zł) [Źródło 1].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Podstawa do eksmisji:</w:t>
      </w:r>
      <w:r>
        <w:t xml:space="preserve"> </w:t>
      </w:r>
      <w:r>
        <w:t xml:space="preserve">Zakończenie umowy najmu (31.08.2024 r.) [Źródło 1] i brak regulowania opłat stanowią podstawę do żądania eksmisji z uwagi na bezumowne korzystanie z lokalu i rażące naruszanie obowiązków najemcy (art. 672 k.c. oraz ustawa o ochronie praw lokatorów).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Prawa Wynajmującego w przypadku awarii:</w:t>
      </w:r>
      <w:r>
        <w:t xml:space="preserve"> </w:t>
      </w:r>
      <w:r>
        <w:t xml:space="preserve">W sytuacji awaryjnej zagrażającej nieruchomości, Wynajmujący miał prawo podjąć działania naprawcze, a obciążenie Najemczyni kosztami jest uzasadnione (art. 681 k.c. w zw. z art. 471 k.c.).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Instytucja potrącenia:</w:t>
      </w:r>
      <w:r>
        <w:t xml:space="preserve"> </w:t>
      </w:r>
      <w:r>
        <w:t xml:space="preserve">Potrącenie z kaucji jest prawnie dopuszczalne, o ile należności są wymagalne i udowodnione (art. 498 k.c.).</w:t>
      </w:r>
    </w:p>
    <w:p>
      <w:pPr>
        <w:pStyle w:val="FirstParagraph"/>
      </w:pPr>
      <w:r>
        <w:rPr>
          <w:b/>
          <w:bCs/>
        </w:rPr>
        <w:t xml:space="preserve">Słabe punkty sprawy (ryzyka):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Zarzut abuzywności kar umownych:</w:t>
      </w:r>
      <w:r>
        <w:t xml:space="preserve"> </w:t>
      </w:r>
      <w:r>
        <w:t xml:space="preserve">Wysokość kary umownej (50 zł/dzień) jest znacząca i istnieje ryzyko, że sąd uzna ją za rażąco wygórowaną i zastosuje miarkowanie (art. 484 § 2 k.c.), zwłaszcza w kontekście umowy konsumenckiej [7].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Zarzut Najemczyni o wadzie bojlera:</w:t>
      </w:r>
      <w:r>
        <w:t xml:space="preserve"> </w:t>
      </w:r>
      <w:r>
        <w:t xml:space="preserve">Brak precyzyjnych dowodów na przyczynę awarii bojlera może skomplikować dochodzenie kosztów napraw. Jeśli Najemczyni udowodni wadę fabryczną, odpowiedzialność może spaść na Wynajmującego. Konieczne będzie ewentualne powołanie biegłego (ekpertyza techniczna) [Źródło 2].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Zarzut obniżenia czynszu:</w:t>
      </w:r>
      <w:r>
        <w:t xml:space="preserve"> </w:t>
      </w:r>
      <w:r>
        <w:t xml:space="preserve">Jeśli Najemczyni udowodni utrudnienia w korzystaniu z lokalu (np. w czasie i po awarii) oraz zawiadomiła o tym Wynajmującego, sąd może obniżyć czynsz za ten okres (art. 664 k.c.).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Zarzut naruszenia zasad współżycia społecznego przez Wynajmującego:</w:t>
      </w:r>
      <w:r>
        <w:t xml:space="preserve"> </w:t>
      </w:r>
      <w:r>
        <w:t xml:space="preserve">Zarzut dotyczący</w:t>
      </w:r>
      <w:r>
        <w:t xml:space="preserve"> </w:t>
      </w:r>
      <w:r>
        <w:t xml:space="preserve">“samowolnych”</w:t>
      </w:r>
      <w:r>
        <w:t xml:space="preserve"> </w:t>
      </w:r>
      <w:r>
        <w:t xml:space="preserve">wejść do lokalu [Źródło 1] wymaga udokumentowania okoliczności wejścia (np. próba kontaktu, powiadomienie o awarii, cel wejścia).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Egzekucja:</w:t>
      </w:r>
      <w:r>
        <w:t xml:space="preserve"> </w:t>
      </w:r>
      <w:r>
        <w:t xml:space="preserve">Nieznana jest sytuacja finansowa Najemczyni, co stanowi ryzyko trudności w faktycznej egzekucji zasądzonej kwoty.</w:t>
      </w:r>
    </w:p>
    <w:p>
      <w:pPr>
        <w:pStyle w:val="FirstParagraph"/>
      </w:pPr>
      <w:r>
        <w:rPr>
          <w:b/>
          <w:bCs/>
        </w:rPr>
        <w:t xml:space="preserve">Kontrargumenty strony przeciwnej (Najemczyni):</w:t>
      </w:r>
    </w:p>
    <w:p>
      <w:pPr>
        <w:pStyle w:val="Compact"/>
        <w:numPr>
          <w:ilvl w:val="0"/>
          <w:numId w:val="1017"/>
        </w:numPr>
      </w:pPr>
      <w:r>
        <w:t xml:space="preserve">Bojler był wadliwy, a nie uszkodzony z jej winy [Źródło 1].</w:t>
      </w:r>
    </w:p>
    <w:p>
      <w:pPr>
        <w:pStyle w:val="Compact"/>
        <w:numPr>
          <w:ilvl w:val="0"/>
          <w:numId w:val="1017"/>
        </w:numPr>
      </w:pPr>
      <w:r>
        <w:t xml:space="preserve">Klauzule dotyczące potrącenia z kaucji i kar umownych są abuzywne i niezgodne z dobrymi obyczajami, rażąco naruszają jej interesy [Źródło 1].</w:t>
      </w:r>
    </w:p>
    <w:p>
      <w:pPr>
        <w:pStyle w:val="Compact"/>
        <w:numPr>
          <w:ilvl w:val="0"/>
          <w:numId w:val="1017"/>
        </w:numPr>
      </w:pPr>
      <w:r>
        <w:t xml:space="preserve">Miała utrudnione korzystanie z lokalu, co uzasadnia obniżenie czynszu [Źródło 1].</w:t>
      </w:r>
    </w:p>
    <w:p>
      <w:pPr>
        <w:pStyle w:val="Compact"/>
        <w:numPr>
          <w:ilvl w:val="0"/>
          <w:numId w:val="1017"/>
        </w:numPr>
      </w:pPr>
      <w:r>
        <w:t xml:space="preserve">Wynajmujący naruszył jej prawa, wchodząc do lokalu i wykonując naprawy bez jej zgody [Źródło 1].</w:t>
      </w:r>
    </w:p>
    <w:p>
      <w:pPr>
        <w:pStyle w:val="FirstParagraph"/>
      </w:pPr>
      <w:r>
        <w:rPr>
          <w:b/>
          <w:bCs/>
        </w:rPr>
        <w:t xml:space="preserve">Rekomendowana strategia: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Negocjacje / Postępowanie przedsądowe (etap polubowny):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Propozycja ugody:</w:t>
      </w:r>
      <w:r>
        <w:t xml:space="preserve"> </w:t>
      </w:r>
      <w:r>
        <w:t xml:space="preserve">Należy sporządzić wezwanie przedsądowe [Źródło 2], precyzujące wszystkie roszczenia (zaległy czynsz, opłaty, koszty napraw, odsetki), ale z uwzględnieniem możliwości elastycznego podejścia do kar umownych (np. żądanie ich w pełnej wysokości z jednoczesną propozycją ich redukcji w ugodzie).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Cel:</w:t>
      </w:r>
      <w:r>
        <w:t xml:space="preserve"> </w:t>
      </w:r>
      <w:r>
        <w:t xml:space="preserve">Spróbować uniknąć długotrwałego i kosztownego procesu sądowego. Propozycja ugody powinna uwzględniać interesy Wynajmującego, jednocześnie pozostawiając Najemczyni</w:t>
      </w:r>
      <w:r>
        <w:t xml:space="preserve"> </w:t>
      </w:r>
      <w:r>
        <w:t xml:space="preserve">“pole do negocjacji”</w:t>
      </w:r>
      <w:r>
        <w:t xml:space="preserve">, np. w kwestii wysokości kar umownych. Można zaproponować spłatę w ratach lub rezygnację z części kar umownych w zamian za niezwłoczne uregulowanie długu głównego i opuszczenie lokalu.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Ekspertyza techniczna:</w:t>
      </w:r>
      <w:r>
        <w:t xml:space="preserve"> </w:t>
      </w:r>
      <w:r>
        <w:t xml:space="preserve">W ramach postępowania przedsądowego lub przygotowań do procesu, warto rozważyć zlecenie niezależnej ekspertyzy technicznej bojlera (jeśli bojler jest nadal dostępny do oględzin) w celu potwierdzenia lub wykluczenia wady fabrycznej, co wzmocni pozycję Wynajmującego [Źródło 2].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Postępowanie sądowe (w przypadku braku ugody):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Pozew o zapłatę:</w:t>
      </w:r>
      <w:r>
        <w:t xml:space="preserve"> </w:t>
      </w:r>
      <w:r>
        <w:t xml:space="preserve">W przypadku braku porozumienia, należy wnieść pozew o zapłatę roszczeń pieniężnych (20 200,00 zł wraz z odsetkami i karami umownymi, z uwzględnieniem ryzyka miarkowania) do sądu rejonowego właściwego miejscowo dla lokalu [Źródło 2].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Wniosek o zabezpieczenie:</w:t>
      </w:r>
      <w:r>
        <w:t xml:space="preserve"> </w:t>
      </w:r>
      <w:r>
        <w:t xml:space="preserve">Jednocześnie z pozwem złożyć wniosek o zabezpieczenie roszczenia (art. 730 k.p.c., art. 730¹ k.p.c.). Można wnioskować o zajęcie kaucji na rachunku bankowym lub w innej formie zabezpieczenia, co uniemożliwi Najemczyni dysponowanie tą kwotą. Należy uprawdopodobnić roszczenie i interes prawny w zabezpieczeniu (obawę, że brak zabezpieczenia uniemożliwi lub poważnie utrudni wykonanie orzeczenia) [Kodeks postępowania cywilnego Art. 736.].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Pozew o eksmisję:</w:t>
      </w:r>
      <w:r>
        <w:t xml:space="preserve"> </w:t>
      </w:r>
      <w:r>
        <w:t xml:space="preserve">W osobnym postępowaniu lub w ramach pozwu o zapłatę (jeśli dopuszczalne jest łączenie roszczeń), należy wystąpić z pozwem o eksmisję (art. 222 § 1 k.c. w zw. z ustawą o ochronie praw lokatorów). Należy zebrać dowody potwierdzające bezumowne korzystanie z lokalu i brak płatności.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Wnioski dowodowe w procesie:</w:t>
      </w:r>
      <w:r>
        <w:t xml:space="preserve"> </w:t>
      </w:r>
      <w:r>
        <w:t xml:space="preserve">Przedstawić wszystkie zebrane dokumenty (umowa, potwierdzenia płatności, faktury za naprawy, korespondencja, zdjęcia). Można wnioskować o przesłuchanie świadków (np. hydraulika, sąsiadów) oraz o dopuszczenie dowodu z opinii biegłego rzeczoznawcy technicznego (w celu oceny przyczyny awarii bojlera i zakresu koniecznych napraw).</w:t>
      </w:r>
    </w:p>
    <w:bookmarkEnd w:id="20"/>
    <w:bookmarkStart w:id="21" w:name="vii.-instrukcja-kolejnych-kroków"/>
    <w:p>
      <w:pPr>
        <w:pStyle w:val="Heading3"/>
      </w:pPr>
      <w:r>
        <w:t xml:space="preserve">VII. Instrukcja kolejnych kroków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Analiza i weryfikacja dokumentacji (niezwłocznie):</w:t>
      </w:r>
    </w:p>
    <w:p>
      <w:pPr>
        <w:pStyle w:val="Compact"/>
        <w:numPr>
          <w:ilvl w:val="1"/>
          <w:numId w:val="1022"/>
        </w:numPr>
      </w:pPr>
      <w:r>
        <w:t xml:space="preserve">Przejrzeć wszystkie dokumenty związane z najmem (umowa, aneksy, protokoły zdawczo-odbiorcze, korespondencja, potwierdzenia płatności/braku płatności, faktury za naprawy).</w:t>
      </w:r>
    </w:p>
    <w:p>
      <w:pPr>
        <w:pStyle w:val="Compact"/>
        <w:numPr>
          <w:ilvl w:val="1"/>
          <w:numId w:val="1022"/>
        </w:numPr>
      </w:pPr>
      <w:r>
        <w:t xml:space="preserve">Zebrać dowody potwierdzające daty i kwoty poszczególnych zaległości (wyciągi bankowe, przypomnienia o płatnościach).</w:t>
      </w:r>
    </w:p>
    <w:p>
      <w:pPr>
        <w:pStyle w:val="Compact"/>
        <w:numPr>
          <w:ilvl w:val="1"/>
          <w:numId w:val="1022"/>
        </w:numPr>
      </w:pPr>
      <w:r>
        <w:t xml:space="preserve">Zgromadzić dokumentację dotyczącą awarii bojlera (faktury, zdjęcia, protokoły od firm naprawczych).</w:t>
      </w:r>
    </w:p>
    <w:p>
      <w:pPr>
        <w:pStyle w:val="Compact"/>
        <w:numPr>
          <w:ilvl w:val="1"/>
          <w:numId w:val="1022"/>
        </w:numPr>
      </w:pPr>
      <w:r>
        <w:t xml:space="preserve">Poprosić klienta o wszelką korespondencję z Najemczynią (listy, maile, SMS-y), która może być dowodem w sprawie.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Przygotowanie i wysłanie Wezwania przedsądowego (do 7 dni):</w:t>
      </w:r>
    </w:p>
    <w:p>
      <w:pPr>
        <w:pStyle w:val="Compact"/>
        <w:numPr>
          <w:ilvl w:val="1"/>
          <w:numId w:val="1023"/>
        </w:numPr>
      </w:pPr>
      <w:r>
        <w:t xml:space="preserve">Opracować wezwanie przedsądowe [Źródło 2], precyzujące roszczenia Wynajmującego, naliczone odsetki i kary umowne.</w:t>
      </w:r>
    </w:p>
    <w:p>
      <w:pPr>
        <w:pStyle w:val="Compact"/>
        <w:numPr>
          <w:ilvl w:val="1"/>
          <w:numId w:val="1023"/>
        </w:numPr>
      </w:pPr>
      <w:r>
        <w:t xml:space="preserve">Zawrzeć w nim konkretną propozycję ugody (np. uregulowanie długu głównego z częściową rezygnacją z kar umownych).</w:t>
      </w:r>
    </w:p>
    <w:p>
      <w:pPr>
        <w:pStyle w:val="Compact"/>
        <w:numPr>
          <w:ilvl w:val="1"/>
          <w:numId w:val="1023"/>
        </w:numPr>
      </w:pPr>
      <w:r>
        <w:t xml:space="preserve">Poinformować o zamiarze wniesienia pozwu o zapłatę i eksmisję w przypadku braku reakcji lub nieprzyjęcia propozycji.</w:t>
      </w:r>
    </w:p>
    <w:p>
      <w:pPr>
        <w:pStyle w:val="Compact"/>
        <w:numPr>
          <w:ilvl w:val="1"/>
          <w:numId w:val="1023"/>
        </w:numPr>
      </w:pPr>
      <w:r>
        <w:t xml:space="preserve">Wysłać wezwanie listem poleconym za zwrotnym potwierdzeniem odbioru.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Wybór strategii dotyczącej ekspertyzy (do 14 dni, równolegle z pkt 2):</w:t>
      </w:r>
    </w:p>
    <w:p>
      <w:pPr>
        <w:pStyle w:val="Compact"/>
        <w:numPr>
          <w:ilvl w:val="1"/>
          <w:numId w:val="1024"/>
        </w:numPr>
      </w:pPr>
      <w:r>
        <w:t xml:space="preserve">Omówić z klientem możliwość i celowość zlecenia pozasądowej ekspertyzy technicznej bojlera [Źródło 2].</w:t>
      </w:r>
    </w:p>
    <w:p>
      <w:pPr>
        <w:pStyle w:val="Compact"/>
        <w:numPr>
          <w:ilvl w:val="1"/>
          <w:numId w:val="1024"/>
        </w:numPr>
      </w:pPr>
      <w:r>
        <w:t xml:space="preserve">Zważyć koszty takiej ekspertyzy w stosunku do potencjalnych korzyści procesowych.</w:t>
      </w:r>
    </w:p>
    <w:p>
      <w:pPr>
        <w:pStyle w:val="Compact"/>
        <w:numPr>
          <w:ilvl w:val="1"/>
          <w:numId w:val="1024"/>
        </w:numPr>
      </w:pPr>
      <w:r>
        <w:t xml:space="preserve">Jeśli bojler nie jest dostępny, przygotować się na wniosek o dopuszczenie dowodu z opinii biegłego w toku postępowania sądowego.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Przygotowanie Pozwu o zapłatę i wniosku o zabezpieczenie (po upływie terminu na odpowiedź na wezwanie przedsądowe, ok. 21-30 dni od wysłania wezwania):</w:t>
      </w:r>
    </w:p>
    <w:p>
      <w:pPr>
        <w:pStyle w:val="Compact"/>
        <w:numPr>
          <w:ilvl w:val="1"/>
          <w:numId w:val="1025"/>
        </w:numPr>
      </w:pPr>
      <w:r>
        <w:t xml:space="preserve">Sporządzić pozew o zapłatę obejmujący roszczenie główne (20 200,00 zł), odsetki ustawowe oraz kary umowne (z uwzględnieniem ryzyka miarkowania) [Źródło 2].</w:t>
      </w:r>
    </w:p>
    <w:p>
      <w:pPr>
        <w:pStyle w:val="Compact"/>
        <w:numPr>
          <w:ilvl w:val="1"/>
          <w:numId w:val="1025"/>
        </w:numPr>
      </w:pPr>
      <w:r>
        <w:t xml:space="preserve">W pozwie precyzyjnie wskazać fakty i dowody na ich poparcie (art. 187 § 1 pkt 2 k.p.c.) [Kodeks postępowania cywilnego Art. 187.].</w:t>
      </w:r>
    </w:p>
    <w:p>
      <w:pPr>
        <w:pStyle w:val="Compact"/>
        <w:numPr>
          <w:ilvl w:val="1"/>
          <w:numId w:val="1025"/>
        </w:numPr>
      </w:pPr>
      <w:r>
        <w:t xml:space="preserve">Dołączyć wniosek o zabezpieczenie roszczenia poprzez zajęcie kaucji lub w innej formie, uzasadniając interes prawny w zabezpieczeniu [Źródło 2, Kodeks postępowania cywilnego Art. 736.].</w:t>
      </w:r>
    </w:p>
    <w:p>
      <w:pPr>
        <w:pStyle w:val="Compact"/>
        <w:numPr>
          <w:ilvl w:val="1"/>
          <w:numId w:val="1025"/>
        </w:numPr>
      </w:pPr>
      <w:r>
        <w:t xml:space="preserve">Obliczyć i uiścić opłatę sądową od pozwu.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Przygotowanie Pozwu o eksmisję (równolegle z pkt 4 lub nieco później):</w:t>
      </w:r>
    </w:p>
    <w:p>
      <w:pPr>
        <w:pStyle w:val="Compact"/>
        <w:numPr>
          <w:ilvl w:val="1"/>
          <w:numId w:val="1026"/>
        </w:numPr>
      </w:pPr>
      <w:r>
        <w:t xml:space="preserve">Sporządzić pozew o eksmisję. W przypadku konsumenta, sąd zbada możliwość przyznania lokalu socjalnego.</w:t>
      </w:r>
    </w:p>
    <w:p>
      <w:pPr>
        <w:pStyle w:val="Compact"/>
        <w:numPr>
          <w:ilvl w:val="1"/>
          <w:numId w:val="1026"/>
        </w:numPr>
      </w:pPr>
      <w:r>
        <w:t xml:space="preserve">Dołączyć dowody na zakończenie umowy najmu i bezumowne korzystanie z lokalu.</w:t>
      </w:r>
    </w:p>
    <w:p>
      <w:pPr>
        <w:pStyle w:val="Compact"/>
        <w:numPr>
          <w:ilvl w:val="1"/>
          <w:numId w:val="1026"/>
        </w:numPr>
      </w:pPr>
      <w:r>
        <w:t xml:space="preserve">Obliczyć i uiścić opłatę sądową od pozwu.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Uzupełnienie braków (jeśli sąd wezwie):</w:t>
      </w:r>
    </w:p>
    <w:p>
      <w:pPr>
        <w:pStyle w:val="Compact"/>
        <w:numPr>
          <w:ilvl w:val="1"/>
          <w:numId w:val="1027"/>
        </w:numPr>
      </w:pPr>
      <w:r>
        <w:t xml:space="preserve">Monitorować korespondencję z sądu i w przypadku wezwania do uzupełnienia braków formalnych pozwu (np. sygnatura, adres strony [11, Kodeks postępowania cywilnego Art. 126.], wartość przedmiotu sporu, sprecyzowanie żądania [11, Kodeks postępowania cywilnego Art. 187.]) lub zakwestionowania dowodów, niezwłocznie usunąć wskazane uchybienia.</w:t>
      </w:r>
    </w:p>
    <w:p>
      <w:pPr>
        <w:pStyle w:val="FirstParagraph"/>
      </w:pPr>
      <w:r>
        <w:t xml:space="preserve">[[PROPOSE_DOC: Opinia prawna]]</w:t>
      </w:r>
      <w:r>
        <w:t xml:space="preserve"> </w:t>
      </w:r>
      <w:r>
        <w:t xml:space="preserve">[[PROPOSE_DOC: Wezwanie przedsądowe]]</w:t>
      </w:r>
      <w:r>
        <w:t xml:space="preserve"> </w:t>
      </w:r>
      <w:r>
        <w:t xml:space="preserve">[[PROPOSE_DOC: Pozew o zapłatę z wnioskiem o zabezpieczenie]]</w:t>
      </w:r>
    </w:p>
    <w:p>
      <w:r>
        <w:pict>
          <v:rect style="width:0;height:1.5pt" o:hralign="center" o:hrstd="t" o:hr="t"/>
        </w:pic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2026-10-05T19:14:29Z</dcterms:created>
  <dcterms:modified xsi:type="dcterms:W3CDTF">2026-10-05T19:14:29Z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